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9969" w14:textId="77777777" w:rsidR="00DE5BCC" w:rsidRPr="00DE5BCC" w:rsidRDefault="00DE5BCC" w:rsidP="00257762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E5BCC">
        <w:rPr>
          <w:rFonts w:ascii="Arial" w:hAnsi="Arial" w:cs="Arial"/>
          <w:b/>
          <w:bCs/>
          <w:sz w:val="28"/>
          <w:szCs w:val="28"/>
          <w:lang w:val="en-GB"/>
        </w:rPr>
        <w:t>Summer Planning</w:t>
      </w:r>
    </w:p>
    <w:p w14:paraId="5025D21A" w14:textId="00801897" w:rsidR="00DE5BCC" w:rsidRPr="00DE5BCC" w:rsidRDefault="00DE5BCC" w:rsidP="00257762">
      <w:pPr>
        <w:pStyle w:val="NormalWeb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5BCC">
        <w:rPr>
          <w:rFonts w:ascii="Arial" w:hAnsi="Arial" w:cs="Arial"/>
          <w:color w:val="000000" w:themeColor="text1"/>
          <w:sz w:val="22"/>
          <w:szCs w:val="22"/>
        </w:rPr>
        <w:t xml:space="preserve">As we go into the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>ummer break, we propose to continue to offer support, guidance and remote education to our young people and their families. This is to support our young people at a critical time and to provide a flexible and innovative needs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>led approach to education and care.</w:t>
      </w:r>
    </w:p>
    <w:p w14:paraId="55FA0F5A" w14:textId="77777777" w:rsidR="00DE5BCC" w:rsidRPr="00DE5BCC" w:rsidRDefault="00DE5BCC" w:rsidP="00257762">
      <w:pPr>
        <w:pStyle w:val="NormalWeb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5BCC">
        <w:rPr>
          <w:rFonts w:ascii="Arial" w:hAnsi="Arial" w:cs="Arial"/>
          <w:color w:val="000000" w:themeColor="text1"/>
          <w:sz w:val="22"/>
          <w:szCs w:val="22"/>
        </w:rPr>
        <w:t>However, we also need to support our staff and monitor their wellbeing to ensure they have a well-deserved break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 xml:space="preserve"> after what has been the most difficult time in education for over a decade. Our teams have been amazing and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have 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 xml:space="preserve">continued to go over and above </w:t>
      </w:r>
      <w:r>
        <w:rPr>
          <w:rFonts w:ascii="Arial" w:hAnsi="Arial" w:cs="Arial"/>
          <w:color w:val="000000" w:themeColor="text1"/>
          <w:sz w:val="22"/>
          <w:szCs w:val="22"/>
        </w:rPr>
        <w:t>within their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 xml:space="preserve"> roles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order 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 xml:space="preserve">to provide support during this unprecedented situation. </w:t>
      </w:r>
    </w:p>
    <w:p w14:paraId="752BDCB7" w14:textId="77777777" w:rsidR="00DE5BCC" w:rsidRPr="00DE5BCC" w:rsidRDefault="00DE5BCC" w:rsidP="00257762">
      <w:pPr>
        <w:pStyle w:val="NormalWeb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5BCC">
        <w:rPr>
          <w:rFonts w:ascii="Arial" w:hAnsi="Arial" w:cs="Arial"/>
          <w:color w:val="000000" w:themeColor="text1"/>
          <w:sz w:val="22"/>
          <w:szCs w:val="22"/>
        </w:rPr>
        <w:t>To do this and to ensure the safeguarding of our pupils continues through</w:t>
      </w:r>
      <w:r>
        <w:rPr>
          <w:rFonts w:ascii="Arial" w:hAnsi="Arial" w:cs="Arial"/>
          <w:color w:val="000000" w:themeColor="text1"/>
          <w:sz w:val="22"/>
          <w:szCs w:val="22"/>
        </w:rPr>
        <w:t>out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 xml:space="preserve">ummer break, we propose to offer welfare and safeguarding visits and calls, remote academic input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>on-site drop in support one day a week</w:t>
      </w:r>
      <w:r>
        <w:rPr>
          <w:rFonts w:ascii="Arial" w:hAnsi="Arial" w:cs="Arial"/>
          <w:color w:val="000000" w:themeColor="text1"/>
          <w:sz w:val="22"/>
          <w:szCs w:val="22"/>
        </w:rPr>
        <w:t>, w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 xml:space="preserve">hilst always ensuring staff wellbeing. </w:t>
      </w:r>
    </w:p>
    <w:p w14:paraId="2EBF3D56" w14:textId="77777777" w:rsidR="00DE5BCC" w:rsidRPr="00DE5BCC" w:rsidRDefault="00DE5BCC" w:rsidP="00257762">
      <w:pPr>
        <w:pStyle w:val="NormalWeb"/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5BCC">
        <w:rPr>
          <w:rFonts w:ascii="Arial" w:hAnsi="Arial" w:cs="Arial"/>
          <w:color w:val="000000" w:themeColor="text1"/>
          <w:sz w:val="22"/>
          <w:szCs w:val="22"/>
        </w:rPr>
        <w:t>To do this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 xml:space="preserve"> we have devised the following programme for the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DE5BCC">
        <w:rPr>
          <w:rFonts w:ascii="Arial" w:hAnsi="Arial" w:cs="Arial"/>
          <w:color w:val="000000" w:themeColor="text1"/>
          <w:sz w:val="22"/>
          <w:szCs w:val="22"/>
        </w:rPr>
        <w:t>ummer break.</w:t>
      </w:r>
    </w:p>
    <w:p w14:paraId="79A0D299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>Our pupils across all sites have been divided into three tiers:</w:t>
      </w:r>
    </w:p>
    <w:p w14:paraId="29BC26ED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2E28F1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 xml:space="preserve">Tier 1 – Most vulnerable, on CP/CIN plans, LAC, </w:t>
      </w:r>
      <w:r>
        <w:rPr>
          <w:rFonts w:ascii="Arial" w:hAnsi="Arial" w:cs="Arial"/>
          <w:sz w:val="22"/>
          <w:szCs w:val="22"/>
          <w:lang w:val="en-GB"/>
        </w:rPr>
        <w:t>n</w:t>
      </w:r>
      <w:r w:rsidRPr="00DE5BCC">
        <w:rPr>
          <w:rFonts w:ascii="Arial" w:hAnsi="Arial" w:cs="Arial"/>
          <w:sz w:val="22"/>
          <w:szCs w:val="22"/>
          <w:lang w:val="en-GB"/>
        </w:rPr>
        <w:t>eeding</w:t>
      </w:r>
      <w:r>
        <w:rPr>
          <w:rFonts w:ascii="Arial" w:hAnsi="Arial" w:cs="Arial"/>
          <w:sz w:val="22"/>
          <w:szCs w:val="22"/>
          <w:lang w:val="en-GB"/>
        </w:rPr>
        <w:t xml:space="preserve"> additional social care support.</w:t>
      </w:r>
    </w:p>
    <w:p w14:paraId="2FE56D09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b/>
          <w:color w:val="FF0000"/>
          <w:sz w:val="22"/>
          <w:szCs w:val="22"/>
          <w:lang w:val="en-GB"/>
        </w:rPr>
        <w:t>One face-to-face visit a week.</w:t>
      </w:r>
    </w:p>
    <w:p w14:paraId="0F94B0B0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4B0F2D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>Tier 2 – Pupils and families who we consider might need a check in face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DE5BCC">
        <w:rPr>
          <w:rFonts w:ascii="Arial" w:hAnsi="Arial" w:cs="Arial"/>
          <w:sz w:val="22"/>
          <w:szCs w:val="22"/>
          <w:lang w:val="en-GB"/>
        </w:rPr>
        <w:t>to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DE5BCC">
        <w:rPr>
          <w:rFonts w:ascii="Arial" w:hAnsi="Arial" w:cs="Arial"/>
          <w:sz w:val="22"/>
          <w:szCs w:val="22"/>
          <w:lang w:val="en-GB"/>
        </w:rPr>
        <w:t>face to pick up any issues/concerns. May have historical safeguarding concerns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89216E1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b/>
          <w:bCs/>
          <w:color w:val="FFC000" w:themeColor="accent4"/>
          <w:sz w:val="22"/>
          <w:szCs w:val="22"/>
          <w:lang w:val="en-GB"/>
        </w:rPr>
        <w:t>F</w:t>
      </w:r>
      <w:r w:rsidRPr="00DE5BCC">
        <w:rPr>
          <w:rFonts w:ascii="Arial" w:hAnsi="Arial" w:cs="Arial"/>
          <w:b/>
          <w:color w:val="FFC000" w:themeColor="accent4"/>
          <w:sz w:val="22"/>
          <w:szCs w:val="22"/>
          <w:lang w:val="en-GB"/>
        </w:rPr>
        <w:t>ortnightly visit, weekly call.</w:t>
      </w:r>
    </w:p>
    <w:p w14:paraId="37846DEF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E7A4C81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>Tier 3 – All other remaining pupils on role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4D5D32B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b/>
          <w:color w:val="70AD47" w:themeColor="accent6"/>
          <w:sz w:val="22"/>
          <w:szCs w:val="22"/>
          <w:lang w:val="en-GB"/>
        </w:rPr>
        <w:t xml:space="preserve">Weekly </w:t>
      </w:r>
      <w:r>
        <w:rPr>
          <w:rFonts w:ascii="Arial" w:hAnsi="Arial" w:cs="Arial"/>
          <w:b/>
          <w:color w:val="70AD47" w:themeColor="accent6"/>
          <w:sz w:val="22"/>
          <w:szCs w:val="22"/>
          <w:lang w:val="en-GB"/>
        </w:rPr>
        <w:t>p</w:t>
      </w:r>
      <w:r w:rsidRPr="00DE5BCC">
        <w:rPr>
          <w:rFonts w:ascii="Arial" w:hAnsi="Arial" w:cs="Arial"/>
          <w:b/>
          <w:color w:val="70AD47" w:themeColor="accent6"/>
          <w:sz w:val="22"/>
          <w:szCs w:val="22"/>
          <w:lang w:val="en-GB"/>
        </w:rPr>
        <w:t>hone call</w:t>
      </w:r>
    </w:p>
    <w:p w14:paraId="7A12FE72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5B855D9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 xml:space="preserve">There is always the option of course to increase the tier </w:t>
      </w:r>
      <w:r>
        <w:rPr>
          <w:rFonts w:ascii="Arial" w:hAnsi="Arial" w:cs="Arial"/>
          <w:sz w:val="22"/>
          <w:szCs w:val="22"/>
          <w:lang w:val="en-GB"/>
        </w:rPr>
        <w:t>for any pupil,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in line with developing need.</w:t>
      </w:r>
    </w:p>
    <w:p w14:paraId="4BC2382E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F20816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>In addition to the calls and visits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each site will offer one day as an ‘open day’ for pupils to call in if required.</w:t>
      </w:r>
    </w:p>
    <w:p w14:paraId="042D29DC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AB85C2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 xml:space="preserve">Tier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visits will be carried out by the safeguarding team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including the Lead Social Worker. These staff will also lead on the borderline cases between tier 1 and 2. Visits for tier 2 pupils and calls for tier 3 pupils will be completed by keyworkers.</w:t>
      </w:r>
    </w:p>
    <w:p w14:paraId="76373D16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02F7E7C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>In total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we will be averaging 26 visits a week as a minimum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however we fully expect this amount to fluctuate over the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DE5BCC">
        <w:rPr>
          <w:rFonts w:ascii="Arial" w:hAnsi="Arial" w:cs="Arial"/>
          <w:sz w:val="22"/>
          <w:szCs w:val="22"/>
          <w:lang w:val="en-GB"/>
        </w:rPr>
        <w:t>ummer break as we see increased need in some cases leading to either temporary or permanent elevation in the pupil’s tiering.</w:t>
      </w:r>
    </w:p>
    <w:p w14:paraId="791440DF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C032A89" w14:textId="5E147AE8" w:rsidR="00DE5BCC" w:rsidRDefault="00DE5BCC" w:rsidP="00257762">
      <w:pPr>
        <w:jc w:val="both"/>
        <w:rPr>
          <w:rFonts w:ascii="Arial" w:hAnsi="Arial" w:cs="Arial"/>
          <w:sz w:val="22"/>
          <w:szCs w:val="22"/>
        </w:rPr>
      </w:pPr>
    </w:p>
    <w:p w14:paraId="52BC0446" w14:textId="1C2E6AC1" w:rsidR="000616F1" w:rsidRDefault="000616F1" w:rsidP="0025776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BC21F44" w14:textId="5E3B6789" w:rsidR="000616F1" w:rsidRDefault="000616F1" w:rsidP="0025776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7FFD7B3" w14:textId="48959F94" w:rsidR="000616F1" w:rsidRDefault="000616F1" w:rsidP="0025776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2F17DA57" w14:textId="63693CDA" w:rsidR="000616F1" w:rsidRDefault="000616F1" w:rsidP="0025776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75061D1" w14:textId="64D22161" w:rsidR="000616F1" w:rsidRDefault="000616F1" w:rsidP="0025776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C5764B8" w14:textId="77777777" w:rsidR="000616F1" w:rsidRPr="00DE5BCC" w:rsidRDefault="000616F1" w:rsidP="0025776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083AF26" w14:textId="77777777" w:rsidR="00DE5BCC" w:rsidRPr="00DE5BCC" w:rsidRDefault="00DE5BCC" w:rsidP="0025776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6375502" w14:textId="77777777" w:rsidR="009C0377" w:rsidRDefault="009C0377" w:rsidP="0025776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6E3156D" w14:textId="14E9BE54" w:rsidR="00DE5BCC" w:rsidRPr="00DE5BCC" w:rsidRDefault="00DE5BCC" w:rsidP="00257762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DE5BCC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 xml:space="preserve">Example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R</w:t>
      </w:r>
      <w:r w:rsidRPr="00DE5BCC">
        <w:rPr>
          <w:rFonts w:ascii="Arial" w:hAnsi="Arial" w:cs="Arial"/>
          <w:b/>
          <w:sz w:val="22"/>
          <w:szCs w:val="22"/>
          <w:u w:val="single"/>
          <w:lang w:val="en-GB"/>
        </w:rPr>
        <w:t>ota</w:t>
      </w:r>
    </w:p>
    <w:p w14:paraId="10B9E186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60D8CDF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E233E3" w14:textId="77777777" w:rsidR="00DE5BCC" w:rsidRPr="00DE5BCC" w:rsidRDefault="00DE5BCC" w:rsidP="002577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DE5BCC">
        <w:rPr>
          <w:rFonts w:ascii="Arial" w:hAnsi="Arial" w:cs="Arial"/>
          <w:b/>
          <w:bCs/>
          <w:sz w:val="22"/>
          <w:szCs w:val="22"/>
          <w:lang w:val="en-GB"/>
        </w:rPr>
        <w:t>Cleckheaton:</w:t>
      </w:r>
    </w:p>
    <w:p w14:paraId="50ED3C05" w14:textId="77777777" w:rsidR="00DE5BCC" w:rsidRPr="00DE5BCC" w:rsidRDefault="00DE5BCC" w:rsidP="00257762">
      <w:pPr>
        <w:pStyle w:val="ListParagraph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2689"/>
        <w:gridCol w:w="2165"/>
        <w:gridCol w:w="2196"/>
        <w:gridCol w:w="2196"/>
      </w:tblGrid>
      <w:tr w:rsidR="00DE5BCC" w:rsidRPr="00DE5BCC" w14:paraId="747204C4" w14:textId="77777777" w:rsidTr="00CB3C5D">
        <w:tc>
          <w:tcPr>
            <w:tcW w:w="2689" w:type="dxa"/>
          </w:tcPr>
          <w:p w14:paraId="38245A4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Pupil</w:t>
            </w:r>
          </w:p>
        </w:tc>
        <w:tc>
          <w:tcPr>
            <w:tcW w:w="2165" w:type="dxa"/>
          </w:tcPr>
          <w:p w14:paraId="65A7C35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Tier 1</w:t>
            </w:r>
          </w:p>
        </w:tc>
        <w:tc>
          <w:tcPr>
            <w:tcW w:w="2196" w:type="dxa"/>
          </w:tcPr>
          <w:p w14:paraId="6FFE866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Tier 2</w:t>
            </w:r>
          </w:p>
        </w:tc>
        <w:tc>
          <w:tcPr>
            <w:tcW w:w="2196" w:type="dxa"/>
          </w:tcPr>
          <w:p w14:paraId="1276D91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Tier 3</w:t>
            </w:r>
          </w:p>
        </w:tc>
      </w:tr>
      <w:tr w:rsidR="00DE5BCC" w:rsidRPr="00DE5BCC" w14:paraId="748EEFD9" w14:textId="77777777" w:rsidTr="00CB3C5D">
        <w:tc>
          <w:tcPr>
            <w:tcW w:w="2689" w:type="dxa"/>
          </w:tcPr>
          <w:p w14:paraId="552DB7C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165" w:type="dxa"/>
          </w:tcPr>
          <w:p w14:paraId="55EF5E5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FFC000" w:themeFill="accent4"/>
          </w:tcPr>
          <w:p w14:paraId="5B026F9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0780D59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4AB0AED4" w14:textId="77777777" w:rsidTr="00CB3C5D">
        <w:tc>
          <w:tcPr>
            <w:tcW w:w="2689" w:type="dxa"/>
          </w:tcPr>
          <w:p w14:paraId="2A944A8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165" w:type="dxa"/>
          </w:tcPr>
          <w:p w14:paraId="15FCBA4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1B83BC7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27E3012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1B53B415" w14:textId="77777777" w:rsidTr="00CB3C5D">
        <w:tc>
          <w:tcPr>
            <w:tcW w:w="2689" w:type="dxa"/>
          </w:tcPr>
          <w:p w14:paraId="772FDD8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165" w:type="dxa"/>
          </w:tcPr>
          <w:p w14:paraId="0253183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8D5574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3B82932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586B5CCF" w14:textId="77777777" w:rsidTr="00CB3C5D">
        <w:tc>
          <w:tcPr>
            <w:tcW w:w="2689" w:type="dxa"/>
          </w:tcPr>
          <w:p w14:paraId="7530419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165" w:type="dxa"/>
          </w:tcPr>
          <w:p w14:paraId="57517EB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C7747A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3705110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10CCFF0C" w14:textId="77777777" w:rsidTr="00CB3C5D">
        <w:tc>
          <w:tcPr>
            <w:tcW w:w="2689" w:type="dxa"/>
          </w:tcPr>
          <w:p w14:paraId="29D4698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165" w:type="dxa"/>
          </w:tcPr>
          <w:p w14:paraId="54E17BA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952333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1184055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64B4FE0C" w14:textId="77777777" w:rsidTr="00CB3C5D">
        <w:tc>
          <w:tcPr>
            <w:tcW w:w="2689" w:type="dxa"/>
          </w:tcPr>
          <w:p w14:paraId="2361243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2165" w:type="dxa"/>
          </w:tcPr>
          <w:p w14:paraId="60B5FB1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06E56E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6409BD6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6C61C7B9" w14:textId="77777777" w:rsidTr="00CB3C5D">
        <w:tc>
          <w:tcPr>
            <w:tcW w:w="2689" w:type="dxa"/>
          </w:tcPr>
          <w:p w14:paraId="0E83117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2165" w:type="dxa"/>
          </w:tcPr>
          <w:p w14:paraId="5540D1E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FFC000" w:themeFill="accent4"/>
          </w:tcPr>
          <w:p w14:paraId="32C23B9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074655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3705A41A" w14:textId="77777777" w:rsidTr="00CB3C5D">
        <w:tc>
          <w:tcPr>
            <w:tcW w:w="2689" w:type="dxa"/>
          </w:tcPr>
          <w:p w14:paraId="7E37F8B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2165" w:type="dxa"/>
          </w:tcPr>
          <w:p w14:paraId="444D961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F82E15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0B0AC3C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7AE8BC34" w14:textId="77777777" w:rsidTr="00CB3C5D">
        <w:tc>
          <w:tcPr>
            <w:tcW w:w="2689" w:type="dxa"/>
          </w:tcPr>
          <w:p w14:paraId="6E75481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2165" w:type="dxa"/>
          </w:tcPr>
          <w:p w14:paraId="245C9C77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FFC000" w:themeFill="accent4"/>
          </w:tcPr>
          <w:p w14:paraId="0FEB348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D4C15A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0578A1D1" w14:textId="77777777" w:rsidTr="00CB3C5D">
        <w:tc>
          <w:tcPr>
            <w:tcW w:w="2689" w:type="dxa"/>
          </w:tcPr>
          <w:p w14:paraId="4D890AB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2165" w:type="dxa"/>
          </w:tcPr>
          <w:p w14:paraId="1D6D7AE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0C0FE68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590A916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086B9047" w14:textId="77777777" w:rsidTr="00CB3C5D">
        <w:tc>
          <w:tcPr>
            <w:tcW w:w="2689" w:type="dxa"/>
          </w:tcPr>
          <w:p w14:paraId="7FE4856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2165" w:type="dxa"/>
          </w:tcPr>
          <w:p w14:paraId="7CDE75E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FFC000" w:themeFill="accent4"/>
          </w:tcPr>
          <w:p w14:paraId="7D5E868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2E5B878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18BE78E5" w14:textId="77777777" w:rsidTr="00CB3C5D">
        <w:tc>
          <w:tcPr>
            <w:tcW w:w="2689" w:type="dxa"/>
          </w:tcPr>
          <w:p w14:paraId="218AB0C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2165" w:type="dxa"/>
          </w:tcPr>
          <w:p w14:paraId="60ACE35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3995B2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0D4B31B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2CE469BF" w14:textId="77777777" w:rsidTr="00CB3C5D">
        <w:tc>
          <w:tcPr>
            <w:tcW w:w="2689" w:type="dxa"/>
          </w:tcPr>
          <w:p w14:paraId="5E30AD0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2165" w:type="dxa"/>
            <w:shd w:val="clear" w:color="auto" w:fill="FF0000"/>
          </w:tcPr>
          <w:p w14:paraId="0C69C19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5034FA4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1B732F2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60A57BCF" w14:textId="77777777" w:rsidTr="00CB3C5D">
        <w:tc>
          <w:tcPr>
            <w:tcW w:w="2689" w:type="dxa"/>
          </w:tcPr>
          <w:p w14:paraId="51B98CE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2165" w:type="dxa"/>
          </w:tcPr>
          <w:p w14:paraId="565FE69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381F0DA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1A5C43E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525B852E" w14:textId="77777777" w:rsidTr="00CB3C5D">
        <w:tc>
          <w:tcPr>
            <w:tcW w:w="2689" w:type="dxa"/>
          </w:tcPr>
          <w:p w14:paraId="478BA95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2165" w:type="dxa"/>
            <w:shd w:val="clear" w:color="auto" w:fill="FF0000"/>
          </w:tcPr>
          <w:p w14:paraId="53EB383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01D904E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7D9EDB9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44EFA2E4" w14:textId="77777777" w:rsidTr="00CB3C5D">
        <w:tc>
          <w:tcPr>
            <w:tcW w:w="2689" w:type="dxa"/>
          </w:tcPr>
          <w:p w14:paraId="1C11053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2165" w:type="dxa"/>
          </w:tcPr>
          <w:p w14:paraId="5401B7B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0F2C6A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5CBC755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69016AEA" w14:textId="77777777" w:rsidTr="00CB3C5D">
        <w:tc>
          <w:tcPr>
            <w:tcW w:w="2689" w:type="dxa"/>
          </w:tcPr>
          <w:p w14:paraId="3848D57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2165" w:type="dxa"/>
            <w:shd w:val="clear" w:color="auto" w:fill="FF0000"/>
          </w:tcPr>
          <w:p w14:paraId="5D3187B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502FBF9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52D5A40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34732B7B" w14:textId="77777777" w:rsidTr="00CB3C5D">
        <w:tc>
          <w:tcPr>
            <w:tcW w:w="2689" w:type="dxa"/>
          </w:tcPr>
          <w:p w14:paraId="766F87D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2165" w:type="dxa"/>
          </w:tcPr>
          <w:p w14:paraId="2FBA63F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1C99210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39956C9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4F7137A0" w14:textId="77777777" w:rsidTr="00CB3C5D">
        <w:tc>
          <w:tcPr>
            <w:tcW w:w="2689" w:type="dxa"/>
          </w:tcPr>
          <w:p w14:paraId="4157CCA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</w:p>
        </w:tc>
        <w:tc>
          <w:tcPr>
            <w:tcW w:w="2165" w:type="dxa"/>
          </w:tcPr>
          <w:p w14:paraId="6051DFC7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002C45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4532F86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6B8B124D" w14:textId="77777777" w:rsidTr="00CB3C5D">
        <w:tc>
          <w:tcPr>
            <w:tcW w:w="2689" w:type="dxa"/>
          </w:tcPr>
          <w:p w14:paraId="456FE0A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2165" w:type="dxa"/>
            <w:shd w:val="clear" w:color="auto" w:fill="FF0000"/>
          </w:tcPr>
          <w:p w14:paraId="700A0CE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C9D060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3EFC2E5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22779BD6" w14:textId="77777777" w:rsidTr="00CB3C5D">
        <w:tc>
          <w:tcPr>
            <w:tcW w:w="2689" w:type="dxa"/>
          </w:tcPr>
          <w:p w14:paraId="514A0B7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2165" w:type="dxa"/>
            <w:shd w:val="clear" w:color="auto" w:fill="FF0000"/>
          </w:tcPr>
          <w:p w14:paraId="20A7631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509181C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792BDAD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38B8254D" w14:textId="77777777" w:rsidTr="00CB3C5D">
        <w:tc>
          <w:tcPr>
            <w:tcW w:w="2689" w:type="dxa"/>
          </w:tcPr>
          <w:p w14:paraId="61A234E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2165" w:type="dxa"/>
            <w:shd w:val="clear" w:color="auto" w:fill="FF0000"/>
          </w:tcPr>
          <w:p w14:paraId="26D3C1A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24B81D2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643F91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2903B34D" w14:textId="77777777" w:rsidTr="00CB3C5D">
        <w:tc>
          <w:tcPr>
            <w:tcW w:w="2689" w:type="dxa"/>
          </w:tcPr>
          <w:p w14:paraId="0B7BC00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2165" w:type="dxa"/>
            <w:shd w:val="clear" w:color="auto" w:fill="FF0000"/>
          </w:tcPr>
          <w:p w14:paraId="2583C50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B2BA07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3B81B7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140C7E8E" w14:textId="77777777" w:rsidTr="00CB3C5D">
        <w:tc>
          <w:tcPr>
            <w:tcW w:w="2689" w:type="dxa"/>
          </w:tcPr>
          <w:p w14:paraId="0E02547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2165" w:type="dxa"/>
          </w:tcPr>
          <w:p w14:paraId="0A6FE5C7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01CEB6C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7246753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2CB11CB8" w14:textId="77777777" w:rsidTr="00CB3C5D">
        <w:tc>
          <w:tcPr>
            <w:tcW w:w="2689" w:type="dxa"/>
          </w:tcPr>
          <w:p w14:paraId="3E5FCC7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</w:p>
        </w:tc>
        <w:tc>
          <w:tcPr>
            <w:tcW w:w="2165" w:type="dxa"/>
          </w:tcPr>
          <w:p w14:paraId="7C3340D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554AD1D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32601FC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6AC741E7" w14:textId="77777777" w:rsidTr="00CB3C5D">
        <w:tc>
          <w:tcPr>
            <w:tcW w:w="2689" w:type="dxa"/>
          </w:tcPr>
          <w:p w14:paraId="21A7947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26</w:t>
            </w:r>
          </w:p>
        </w:tc>
        <w:tc>
          <w:tcPr>
            <w:tcW w:w="2165" w:type="dxa"/>
            <w:shd w:val="clear" w:color="auto" w:fill="FF0000"/>
          </w:tcPr>
          <w:p w14:paraId="34F84A7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344E776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14763A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462DF9AB" w14:textId="77777777" w:rsidTr="00CB3C5D">
        <w:tc>
          <w:tcPr>
            <w:tcW w:w="2689" w:type="dxa"/>
          </w:tcPr>
          <w:p w14:paraId="7938304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</w:p>
        </w:tc>
        <w:tc>
          <w:tcPr>
            <w:tcW w:w="2165" w:type="dxa"/>
            <w:shd w:val="clear" w:color="auto" w:fill="FF0000"/>
          </w:tcPr>
          <w:p w14:paraId="7BA018D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7E5A0E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F59E18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31A20E17" w14:textId="77777777" w:rsidTr="00CB3C5D">
        <w:tc>
          <w:tcPr>
            <w:tcW w:w="2689" w:type="dxa"/>
          </w:tcPr>
          <w:p w14:paraId="6CCFF81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28</w:t>
            </w:r>
          </w:p>
        </w:tc>
        <w:tc>
          <w:tcPr>
            <w:tcW w:w="2165" w:type="dxa"/>
          </w:tcPr>
          <w:p w14:paraId="016DD54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D9B40A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780D4F2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337E9BC2" w14:textId="77777777" w:rsidTr="00CB3C5D">
        <w:tc>
          <w:tcPr>
            <w:tcW w:w="2689" w:type="dxa"/>
          </w:tcPr>
          <w:p w14:paraId="3103657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29</w:t>
            </w:r>
          </w:p>
        </w:tc>
        <w:tc>
          <w:tcPr>
            <w:tcW w:w="2165" w:type="dxa"/>
            <w:shd w:val="clear" w:color="auto" w:fill="FF0000"/>
          </w:tcPr>
          <w:p w14:paraId="6A59642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0263C35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4848FF8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3B62624A" w14:textId="77777777" w:rsidTr="00CB3C5D">
        <w:tc>
          <w:tcPr>
            <w:tcW w:w="2689" w:type="dxa"/>
          </w:tcPr>
          <w:p w14:paraId="1B2A2C2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2165" w:type="dxa"/>
          </w:tcPr>
          <w:p w14:paraId="3BEDBE3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FFC000" w:themeFill="accent4"/>
          </w:tcPr>
          <w:p w14:paraId="2AA75E8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71E3633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5261E2B6" w14:textId="77777777" w:rsidTr="00CB3C5D">
        <w:tc>
          <w:tcPr>
            <w:tcW w:w="2689" w:type="dxa"/>
          </w:tcPr>
          <w:p w14:paraId="48618FF7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31</w:t>
            </w:r>
          </w:p>
        </w:tc>
        <w:tc>
          <w:tcPr>
            <w:tcW w:w="2165" w:type="dxa"/>
          </w:tcPr>
          <w:p w14:paraId="61DCE3D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721D017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5DCE676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00B66691" w14:textId="77777777" w:rsidTr="00CB3C5D">
        <w:tc>
          <w:tcPr>
            <w:tcW w:w="2689" w:type="dxa"/>
          </w:tcPr>
          <w:p w14:paraId="1043497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2165" w:type="dxa"/>
          </w:tcPr>
          <w:p w14:paraId="006642E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FFC000" w:themeFill="accent4"/>
          </w:tcPr>
          <w:p w14:paraId="6E218E9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18689F5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6416FDB5" w14:textId="77777777" w:rsidTr="00CB3C5D">
        <w:tc>
          <w:tcPr>
            <w:tcW w:w="2689" w:type="dxa"/>
          </w:tcPr>
          <w:p w14:paraId="7089697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2165" w:type="dxa"/>
            <w:shd w:val="clear" w:color="auto" w:fill="FF0000"/>
          </w:tcPr>
          <w:p w14:paraId="62A0F60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540BDF5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683A9D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7697EC6B" w14:textId="77777777" w:rsidTr="00CB3C5D">
        <w:tc>
          <w:tcPr>
            <w:tcW w:w="2689" w:type="dxa"/>
          </w:tcPr>
          <w:p w14:paraId="611004D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2165" w:type="dxa"/>
          </w:tcPr>
          <w:p w14:paraId="3E9657C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28B2B64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6B06953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0E9E8E5D" w14:textId="77777777" w:rsidTr="00CB3C5D">
        <w:tc>
          <w:tcPr>
            <w:tcW w:w="2689" w:type="dxa"/>
          </w:tcPr>
          <w:p w14:paraId="3D55CBF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35</w:t>
            </w:r>
          </w:p>
        </w:tc>
        <w:tc>
          <w:tcPr>
            <w:tcW w:w="2165" w:type="dxa"/>
          </w:tcPr>
          <w:p w14:paraId="1F7EAFC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5A293D9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7B2D298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66FB0C45" w14:textId="77777777" w:rsidTr="00CB3C5D">
        <w:tc>
          <w:tcPr>
            <w:tcW w:w="2689" w:type="dxa"/>
          </w:tcPr>
          <w:p w14:paraId="73C83E5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36</w:t>
            </w:r>
          </w:p>
        </w:tc>
        <w:tc>
          <w:tcPr>
            <w:tcW w:w="2165" w:type="dxa"/>
          </w:tcPr>
          <w:p w14:paraId="640D0837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63011A3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3C56BF7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0884BC92" w14:textId="77777777" w:rsidTr="00CB3C5D">
        <w:tc>
          <w:tcPr>
            <w:tcW w:w="2689" w:type="dxa"/>
          </w:tcPr>
          <w:p w14:paraId="4812921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37</w:t>
            </w:r>
          </w:p>
        </w:tc>
        <w:tc>
          <w:tcPr>
            <w:tcW w:w="2165" w:type="dxa"/>
          </w:tcPr>
          <w:p w14:paraId="0B7AC90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FFC000" w:themeFill="accent4"/>
          </w:tcPr>
          <w:p w14:paraId="007F017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2368DA2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335AED08" w14:textId="77777777" w:rsidTr="00CB3C5D">
        <w:tc>
          <w:tcPr>
            <w:tcW w:w="2689" w:type="dxa"/>
          </w:tcPr>
          <w:p w14:paraId="6742DBD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38</w:t>
            </w:r>
          </w:p>
        </w:tc>
        <w:tc>
          <w:tcPr>
            <w:tcW w:w="2165" w:type="dxa"/>
          </w:tcPr>
          <w:p w14:paraId="0AF851B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73636E4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70AD47" w:themeFill="accent6"/>
          </w:tcPr>
          <w:p w14:paraId="488BB99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E5BCC" w:rsidRPr="00DE5BCC" w14:paraId="1D7555DD" w14:textId="77777777" w:rsidTr="00CB3C5D">
        <w:tc>
          <w:tcPr>
            <w:tcW w:w="2689" w:type="dxa"/>
          </w:tcPr>
          <w:p w14:paraId="4244215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39</w:t>
            </w:r>
          </w:p>
        </w:tc>
        <w:tc>
          <w:tcPr>
            <w:tcW w:w="2165" w:type="dxa"/>
          </w:tcPr>
          <w:p w14:paraId="4ABF49B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  <w:shd w:val="clear" w:color="auto" w:fill="FFC000" w:themeFill="accent4"/>
          </w:tcPr>
          <w:p w14:paraId="277ACB4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6" w:type="dxa"/>
          </w:tcPr>
          <w:p w14:paraId="2CD5B45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96BBF59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</w:rPr>
      </w:pPr>
    </w:p>
    <w:p w14:paraId="75989EC8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</w:rPr>
      </w:pPr>
    </w:p>
    <w:p w14:paraId="7B105C9C" w14:textId="77777777" w:rsidR="00DE5BCC" w:rsidRDefault="00DE5BCC" w:rsidP="00257762">
      <w:pPr>
        <w:jc w:val="both"/>
        <w:rPr>
          <w:rFonts w:ascii="Arial" w:hAnsi="Arial" w:cs="Arial"/>
          <w:sz w:val="22"/>
          <w:szCs w:val="22"/>
        </w:rPr>
      </w:pPr>
    </w:p>
    <w:p w14:paraId="3DBDB38D" w14:textId="77777777" w:rsidR="00DE5BCC" w:rsidRDefault="00DE5BCC" w:rsidP="00257762">
      <w:pPr>
        <w:jc w:val="both"/>
        <w:rPr>
          <w:rFonts w:ascii="Arial" w:hAnsi="Arial" w:cs="Arial"/>
          <w:sz w:val="22"/>
          <w:szCs w:val="22"/>
        </w:rPr>
      </w:pPr>
    </w:p>
    <w:p w14:paraId="319DEAD6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</w:rPr>
      </w:pPr>
    </w:p>
    <w:p w14:paraId="1246D994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</w:rPr>
      </w:pPr>
    </w:p>
    <w:p w14:paraId="4315C155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</w:rPr>
      </w:pPr>
    </w:p>
    <w:p w14:paraId="7863A15E" w14:textId="77777777" w:rsidR="00DE5BCC" w:rsidRPr="00DE5BCC" w:rsidRDefault="00DE5BCC" w:rsidP="0025776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E5BCC" w:rsidRPr="00DE5BCC" w14:paraId="00053B1E" w14:textId="77777777" w:rsidTr="00CB3C5D">
        <w:tc>
          <w:tcPr>
            <w:tcW w:w="2252" w:type="dxa"/>
          </w:tcPr>
          <w:p w14:paraId="213298D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</w:rPr>
              <w:t>Pupil</w:t>
            </w:r>
          </w:p>
        </w:tc>
        <w:tc>
          <w:tcPr>
            <w:tcW w:w="2252" w:type="dxa"/>
          </w:tcPr>
          <w:p w14:paraId="2D1D8BE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</w:rPr>
              <w:t>Tier 1</w:t>
            </w:r>
          </w:p>
        </w:tc>
        <w:tc>
          <w:tcPr>
            <w:tcW w:w="2253" w:type="dxa"/>
          </w:tcPr>
          <w:p w14:paraId="618DE28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</w:rPr>
              <w:t>Tier 2</w:t>
            </w:r>
          </w:p>
        </w:tc>
        <w:tc>
          <w:tcPr>
            <w:tcW w:w="2253" w:type="dxa"/>
          </w:tcPr>
          <w:p w14:paraId="1B394B2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</w:rPr>
              <w:t>Tier 3</w:t>
            </w:r>
          </w:p>
        </w:tc>
      </w:tr>
      <w:tr w:rsidR="00DE5BCC" w:rsidRPr="00DE5BCC" w14:paraId="383B8C19" w14:textId="77777777" w:rsidTr="00CB3C5D">
        <w:tc>
          <w:tcPr>
            <w:tcW w:w="2252" w:type="dxa"/>
          </w:tcPr>
          <w:p w14:paraId="63B98B7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252" w:type="dxa"/>
          </w:tcPr>
          <w:p w14:paraId="6029574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2D07670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1008AF5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4654BC60" w14:textId="77777777" w:rsidTr="00CB3C5D">
        <w:tc>
          <w:tcPr>
            <w:tcW w:w="2252" w:type="dxa"/>
          </w:tcPr>
          <w:p w14:paraId="5F7A7FB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252" w:type="dxa"/>
            <w:shd w:val="clear" w:color="auto" w:fill="FF0000"/>
          </w:tcPr>
          <w:p w14:paraId="798240C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14FC266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285B017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6C315085" w14:textId="77777777" w:rsidTr="00CB3C5D">
        <w:tc>
          <w:tcPr>
            <w:tcW w:w="2252" w:type="dxa"/>
          </w:tcPr>
          <w:p w14:paraId="3BCB8FE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2252" w:type="dxa"/>
          </w:tcPr>
          <w:p w14:paraId="0B5C99B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7A82B50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0368F2A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5ACF0C13" w14:textId="77777777" w:rsidTr="00CB3C5D">
        <w:tc>
          <w:tcPr>
            <w:tcW w:w="2252" w:type="dxa"/>
          </w:tcPr>
          <w:p w14:paraId="3AEB017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2252" w:type="dxa"/>
            <w:shd w:val="clear" w:color="auto" w:fill="FF0000"/>
          </w:tcPr>
          <w:p w14:paraId="64A3211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auto"/>
          </w:tcPr>
          <w:p w14:paraId="613975C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46827E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11A885C2" w14:textId="77777777" w:rsidTr="00CB3C5D">
        <w:tc>
          <w:tcPr>
            <w:tcW w:w="2252" w:type="dxa"/>
          </w:tcPr>
          <w:p w14:paraId="540F223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252" w:type="dxa"/>
          </w:tcPr>
          <w:p w14:paraId="63A0BF1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28CEF1A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26186A0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141F0322" w14:textId="77777777" w:rsidTr="00CB3C5D">
        <w:tc>
          <w:tcPr>
            <w:tcW w:w="2252" w:type="dxa"/>
          </w:tcPr>
          <w:p w14:paraId="0920169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2252" w:type="dxa"/>
          </w:tcPr>
          <w:p w14:paraId="2F0F00F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6DA4A4FF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605ABD5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4D01AE58" w14:textId="77777777" w:rsidTr="00CB3C5D">
        <w:tc>
          <w:tcPr>
            <w:tcW w:w="2252" w:type="dxa"/>
          </w:tcPr>
          <w:p w14:paraId="04C7F63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2252" w:type="dxa"/>
            <w:shd w:val="clear" w:color="auto" w:fill="FF0000"/>
          </w:tcPr>
          <w:p w14:paraId="063E2F3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1AA54B0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523B6E4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0BE1D554" w14:textId="77777777" w:rsidTr="00CB3C5D">
        <w:tc>
          <w:tcPr>
            <w:tcW w:w="2252" w:type="dxa"/>
            <w:shd w:val="clear" w:color="auto" w:fill="000000" w:themeFill="text1"/>
          </w:tcPr>
          <w:p w14:paraId="548A540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000000" w:themeFill="text1"/>
          </w:tcPr>
          <w:p w14:paraId="59C6D6F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000000" w:themeFill="text1"/>
          </w:tcPr>
          <w:p w14:paraId="3C3127E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000000" w:themeFill="text1"/>
          </w:tcPr>
          <w:p w14:paraId="44D3C96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7BBF7700" w14:textId="77777777" w:rsidTr="00CB3C5D">
        <w:tc>
          <w:tcPr>
            <w:tcW w:w="2252" w:type="dxa"/>
          </w:tcPr>
          <w:p w14:paraId="71C19C6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2252" w:type="dxa"/>
          </w:tcPr>
          <w:p w14:paraId="2B991D2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2C00ABB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00B050"/>
          </w:tcPr>
          <w:p w14:paraId="30C7CAE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4588F8CF" w14:textId="77777777" w:rsidTr="00CB3C5D">
        <w:tc>
          <w:tcPr>
            <w:tcW w:w="2252" w:type="dxa"/>
          </w:tcPr>
          <w:p w14:paraId="7B45239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2252" w:type="dxa"/>
          </w:tcPr>
          <w:p w14:paraId="2673944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3B0D213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01C0339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206E5E7D" w14:textId="77777777" w:rsidTr="00CB3C5D">
        <w:tc>
          <w:tcPr>
            <w:tcW w:w="2252" w:type="dxa"/>
          </w:tcPr>
          <w:p w14:paraId="32BDF0D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2252" w:type="dxa"/>
          </w:tcPr>
          <w:p w14:paraId="3BCC8E0B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3172091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ED3DA6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7C410466" w14:textId="77777777" w:rsidTr="00CB3C5D">
        <w:tc>
          <w:tcPr>
            <w:tcW w:w="2252" w:type="dxa"/>
          </w:tcPr>
          <w:p w14:paraId="452B966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2252" w:type="dxa"/>
          </w:tcPr>
          <w:p w14:paraId="3435178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73D54FE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5967C01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4392696E" w14:textId="77777777" w:rsidTr="00CB3C5D">
        <w:tc>
          <w:tcPr>
            <w:tcW w:w="2252" w:type="dxa"/>
          </w:tcPr>
          <w:p w14:paraId="6552B94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2252" w:type="dxa"/>
          </w:tcPr>
          <w:p w14:paraId="319B05A7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2334B33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7CCB6E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5172644D" w14:textId="77777777" w:rsidTr="00CB3C5D">
        <w:tc>
          <w:tcPr>
            <w:tcW w:w="2252" w:type="dxa"/>
          </w:tcPr>
          <w:p w14:paraId="62E377C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2252" w:type="dxa"/>
          </w:tcPr>
          <w:p w14:paraId="4B77E15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510BC53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00B050"/>
          </w:tcPr>
          <w:p w14:paraId="4B99417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73520FC1" w14:textId="77777777" w:rsidTr="00CB3C5D">
        <w:tc>
          <w:tcPr>
            <w:tcW w:w="2252" w:type="dxa"/>
          </w:tcPr>
          <w:p w14:paraId="2C7EBC8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2252" w:type="dxa"/>
          </w:tcPr>
          <w:p w14:paraId="15139017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2A8B7E4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44790F7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0D754E66" w14:textId="77777777" w:rsidTr="00CB3C5D">
        <w:tc>
          <w:tcPr>
            <w:tcW w:w="2252" w:type="dxa"/>
          </w:tcPr>
          <w:p w14:paraId="2E3357A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2252" w:type="dxa"/>
            <w:shd w:val="clear" w:color="auto" w:fill="FF0000"/>
          </w:tcPr>
          <w:p w14:paraId="02B7455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4BECDF7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5946D56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7D78608C" w14:textId="77777777" w:rsidTr="00CB3C5D">
        <w:tc>
          <w:tcPr>
            <w:tcW w:w="2252" w:type="dxa"/>
          </w:tcPr>
          <w:p w14:paraId="684D5633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2252" w:type="dxa"/>
          </w:tcPr>
          <w:p w14:paraId="79F0D6B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276B064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00B050"/>
          </w:tcPr>
          <w:p w14:paraId="4FDD7257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154054E4" w14:textId="77777777" w:rsidTr="00CB3C5D">
        <w:tc>
          <w:tcPr>
            <w:tcW w:w="2252" w:type="dxa"/>
          </w:tcPr>
          <w:p w14:paraId="0E1CDF1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2252" w:type="dxa"/>
            <w:shd w:val="clear" w:color="auto" w:fill="FF0000"/>
          </w:tcPr>
          <w:p w14:paraId="04A7FF9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C049267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167157C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22B0D2F6" w14:textId="77777777" w:rsidTr="00CB3C5D">
        <w:tc>
          <w:tcPr>
            <w:tcW w:w="2252" w:type="dxa"/>
          </w:tcPr>
          <w:p w14:paraId="60057722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2252" w:type="dxa"/>
          </w:tcPr>
          <w:p w14:paraId="4CB8380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FFC000"/>
          </w:tcPr>
          <w:p w14:paraId="524B4FB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2E3E2F7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73EE1AD0" w14:textId="77777777" w:rsidTr="00CB3C5D">
        <w:tc>
          <w:tcPr>
            <w:tcW w:w="2252" w:type="dxa"/>
          </w:tcPr>
          <w:p w14:paraId="7499E73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</w:p>
        </w:tc>
        <w:tc>
          <w:tcPr>
            <w:tcW w:w="2252" w:type="dxa"/>
            <w:shd w:val="clear" w:color="auto" w:fill="FF0000"/>
          </w:tcPr>
          <w:p w14:paraId="4F47ACCD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0BBD188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061D325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0A1E0F16" w14:textId="77777777" w:rsidTr="00CB3C5D">
        <w:tc>
          <w:tcPr>
            <w:tcW w:w="2252" w:type="dxa"/>
          </w:tcPr>
          <w:p w14:paraId="10879ED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2252" w:type="dxa"/>
          </w:tcPr>
          <w:p w14:paraId="3DE4782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00E1CA1C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  <w:shd w:val="clear" w:color="auto" w:fill="00B050"/>
          </w:tcPr>
          <w:p w14:paraId="71133D28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7D92F674" w14:textId="77777777" w:rsidTr="00CB3C5D">
        <w:tc>
          <w:tcPr>
            <w:tcW w:w="2252" w:type="dxa"/>
          </w:tcPr>
          <w:p w14:paraId="3E357F0E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6758" w:type="dxa"/>
            <w:gridSpan w:val="3"/>
            <w:vMerge w:val="restart"/>
          </w:tcPr>
          <w:p w14:paraId="2558218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0B82B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A2DA02" w14:textId="77777777" w:rsidR="00DE5BCC" w:rsidRDefault="00DE5BCC" w:rsidP="002577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5BCC">
              <w:rPr>
                <w:rFonts w:ascii="Arial" w:hAnsi="Arial" w:cs="Arial"/>
                <w:b/>
                <w:sz w:val="22"/>
                <w:szCs w:val="22"/>
              </w:rPr>
              <w:t xml:space="preserve">6- 8 new Day 6 referrals coming through from Reach. </w:t>
            </w:r>
          </w:p>
          <w:p w14:paraId="0F9260A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5BCC">
              <w:rPr>
                <w:rFonts w:ascii="Arial" w:hAnsi="Arial" w:cs="Arial"/>
                <w:b/>
                <w:sz w:val="22"/>
                <w:szCs w:val="22"/>
              </w:rPr>
              <w:t>Pending assessment of need / vulnerability.</w:t>
            </w:r>
          </w:p>
        </w:tc>
      </w:tr>
      <w:tr w:rsidR="00DE5BCC" w:rsidRPr="00DE5BCC" w14:paraId="7A3DDFDF" w14:textId="77777777" w:rsidTr="00CB3C5D">
        <w:tc>
          <w:tcPr>
            <w:tcW w:w="2252" w:type="dxa"/>
          </w:tcPr>
          <w:p w14:paraId="0A05AFC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6758" w:type="dxa"/>
            <w:gridSpan w:val="3"/>
            <w:vMerge/>
          </w:tcPr>
          <w:p w14:paraId="17357E60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7EBC72C1" w14:textId="77777777" w:rsidTr="00CB3C5D">
        <w:tc>
          <w:tcPr>
            <w:tcW w:w="2252" w:type="dxa"/>
          </w:tcPr>
          <w:p w14:paraId="32C2544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6758" w:type="dxa"/>
            <w:gridSpan w:val="3"/>
            <w:vMerge/>
          </w:tcPr>
          <w:p w14:paraId="6428727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311BAB89" w14:textId="77777777" w:rsidTr="00CB3C5D">
        <w:tc>
          <w:tcPr>
            <w:tcW w:w="2252" w:type="dxa"/>
          </w:tcPr>
          <w:p w14:paraId="1E8B5E6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6758" w:type="dxa"/>
            <w:gridSpan w:val="3"/>
            <w:vMerge/>
          </w:tcPr>
          <w:p w14:paraId="63B1A534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45916B42" w14:textId="77777777" w:rsidTr="00CB3C5D">
        <w:tc>
          <w:tcPr>
            <w:tcW w:w="2252" w:type="dxa"/>
          </w:tcPr>
          <w:p w14:paraId="0D9072FA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25</w:t>
            </w:r>
          </w:p>
        </w:tc>
        <w:tc>
          <w:tcPr>
            <w:tcW w:w="6758" w:type="dxa"/>
            <w:gridSpan w:val="3"/>
            <w:vMerge/>
          </w:tcPr>
          <w:p w14:paraId="799789E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06306E80" w14:textId="77777777" w:rsidTr="00CB3C5D">
        <w:tc>
          <w:tcPr>
            <w:tcW w:w="2252" w:type="dxa"/>
          </w:tcPr>
          <w:p w14:paraId="76CC99D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26</w:t>
            </w:r>
          </w:p>
        </w:tc>
        <w:tc>
          <w:tcPr>
            <w:tcW w:w="6758" w:type="dxa"/>
            <w:gridSpan w:val="3"/>
            <w:vMerge/>
          </w:tcPr>
          <w:p w14:paraId="2235D4C6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5BCC" w:rsidRPr="00DE5BCC" w14:paraId="799ECAA3" w14:textId="77777777" w:rsidTr="00CB3C5D">
        <w:tc>
          <w:tcPr>
            <w:tcW w:w="2252" w:type="dxa"/>
          </w:tcPr>
          <w:p w14:paraId="0B0BCB51" w14:textId="77777777" w:rsidR="00DE5BCC" w:rsidRPr="00DE5BCC" w:rsidRDefault="00DE5BCC" w:rsidP="002577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5BCC">
              <w:rPr>
                <w:rFonts w:ascii="Arial" w:hAnsi="Arial" w:cs="Arial"/>
                <w:sz w:val="22"/>
                <w:szCs w:val="22"/>
                <w:lang w:val="en-GB"/>
              </w:rPr>
              <w:t>27</w:t>
            </w:r>
          </w:p>
        </w:tc>
        <w:tc>
          <w:tcPr>
            <w:tcW w:w="6758" w:type="dxa"/>
            <w:gridSpan w:val="3"/>
            <w:vMerge/>
          </w:tcPr>
          <w:p w14:paraId="5E839959" w14:textId="77777777" w:rsidR="00DE5BCC" w:rsidRPr="00DE5BCC" w:rsidRDefault="00DE5BCC" w:rsidP="002577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BD0D137" w14:textId="77777777" w:rsidR="00DE5BCC" w:rsidRPr="00DE5BCC" w:rsidRDefault="00DE5BCC" w:rsidP="002577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F70A83" w14:textId="77777777" w:rsidR="00DE5BCC" w:rsidRPr="00F26AB8" w:rsidRDefault="00F26AB8" w:rsidP="00257762">
      <w:pPr>
        <w:jc w:val="both"/>
        <w:rPr>
          <w:rFonts w:ascii="Arial" w:hAnsi="Arial" w:cs="Arial"/>
          <w:b/>
          <w:sz w:val="22"/>
          <w:szCs w:val="22"/>
        </w:rPr>
      </w:pPr>
      <w:r w:rsidRPr="00F26AB8">
        <w:rPr>
          <w:rFonts w:ascii="Arial" w:hAnsi="Arial" w:cs="Arial"/>
          <w:b/>
          <w:sz w:val="22"/>
          <w:szCs w:val="22"/>
        </w:rPr>
        <w:t>Staff Cover example</w:t>
      </w:r>
    </w:p>
    <w:p w14:paraId="445B3422" w14:textId="77777777" w:rsidR="00F26AB8" w:rsidRPr="00DE5BCC" w:rsidRDefault="00F26AB8" w:rsidP="0025776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8"/>
      </w:tblGrid>
      <w:tr w:rsidR="00F26AB8" w:rsidRPr="006A0CC1" w14:paraId="18EEAF04" w14:textId="77777777" w:rsidTr="0056322D">
        <w:trPr>
          <w:trHeight w:val="672"/>
        </w:trPr>
        <w:tc>
          <w:tcPr>
            <w:tcW w:w="2547" w:type="dxa"/>
          </w:tcPr>
          <w:p w14:paraId="79EBCF98" w14:textId="77777777" w:rsidR="00F26AB8" w:rsidRPr="006A0CC1" w:rsidRDefault="00F26AB8" w:rsidP="0056322D">
            <w:pPr>
              <w:pStyle w:val="NormalWeb"/>
              <w:spacing w:before="0" w:beforeAutospacing="0" w:after="240" w:afterAutospacing="0"/>
              <w:jc w:val="center"/>
              <w:rPr>
                <w:rFonts w:cstheme="minorHAnsi"/>
                <w:b/>
                <w:color w:val="000000" w:themeColor="text1"/>
              </w:rPr>
            </w:pPr>
            <w:r w:rsidRPr="006A0CC1">
              <w:rPr>
                <w:rFonts w:cstheme="minorHAnsi"/>
                <w:b/>
                <w:color w:val="000000" w:themeColor="text1"/>
              </w:rPr>
              <w:t xml:space="preserve">Week Commencing </w:t>
            </w:r>
          </w:p>
        </w:tc>
        <w:tc>
          <w:tcPr>
            <w:tcW w:w="2268" w:type="dxa"/>
          </w:tcPr>
          <w:p w14:paraId="6687F2DA" w14:textId="77777777" w:rsidR="00F26AB8" w:rsidRPr="006A0CC1" w:rsidRDefault="00F26AB8" w:rsidP="0056322D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  <w:b/>
                <w:color w:val="000000" w:themeColor="text1"/>
              </w:rPr>
            </w:pPr>
            <w:r w:rsidRPr="006A0CC1">
              <w:rPr>
                <w:rFonts w:cstheme="minorHAnsi"/>
                <w:b/>
                <w:color w:val="000000" w:themeColor="text1"/>
              </w:rPr>
              <w:t xml:space="preserve">Pupils to Visit </w:t>
            </w:r>
          </w:p>
        </w:tc>
        <w:tc>
          <w:tcPr>
            <w:tcW w:w="2268" w:type="dxa"/>
          </w:tcPr>
          <w:p w14:paraId="087C801F" w14:textId="77777777" w:rsidR="00F26AB8" w:rsidRPr="006A0CC1" w:rsidRDefault="00F26AB8" w:rsidP="0056322D">
            <w:pPr>
              <w:pStyle w:val="NormalWeb"/>
              <w:spacing w:before="0" w:beforeAutospacing="0" w:after="240" w:afterAutospacing="0"/>
              <w:jc w:val="center"/>
              <w:rPr>
                <w:rFonts w:cstheme="minorHAnsi"/>
                <w:b/>
                <w:color w:val="000000" w:themeColor="text1"/>
              </w:rPr>
            </w:pPr>
            <w:r w:rsidRPr="006A0CC1">
              <w:rPr>
                <w:rFonts w:cstheme="minorHAnsi"/>
                <w:b/>
                <w:color w:val="000000" w:themeColor="text1"/>
              </w:rPr>
              <w:t xml:space="preserve">Staff in that week </w:t>
            </w:r>
          </w:p>
        </w:tc>
        <w:tc>
          <w:tcPr>
            <w:tcW w:w="2268" w:type="dxa"/>
          </w:tcPr>
          <w:p w14:paraId="2B4BE075" w14:textId="77777777" w:rsidR="00F26AB8" w:rsidRPr="006A0CC1" w:rsidRDefault="00F26AB8" w:rsidP="0056322D">
            <w:pPr>
              <w:pStyle w:val="NormalWeb"/>
              <w:spacing w:before="0" w:beforeAutospacing="0" w:after="240" w:afterAutospacing="0"/>
              <w:jc w:val="center"/>
              <w:rPr>
                <w:rFonts w:cstheme="minorHAnsi"/>
                <w:b/>
                <w:color w:val="000000" w:themeColor="text1"/>
              </w:rPr>
            </w:pPr>
            <w:r w:rsidRPr="006A0CC1">
              <w:rPr>
                <w:rFonts w:cstheme="minorHAnsi"/>
                <w:b/>
                <w:color w:val="000000" w:themeColor="text1"/>
              </w:rPr>
              <w:t>Drop in sessions arranged for…</w:t>
            </w:r>
          </w:p>
        </w:tc>
      </w:tr>
      <w:tr w:rsidR="00F26AB8" w:rsidRPr="006A0CC1" w14:paraId="3B25A5EE" w14:textId="77777777" w:rsidTr="0056322D">
        <w:trPr>
          <w:trHeight w:val="672"/>
        </w:trPr>
        <w:tc>
          <w:tcPr>
            <w:tcW w:w="2547" w:type="dxa"/>
          </w:tcPr>
          <w:p w14:paraId="17BCDD02" w14:textId="77777777" w:rsidR="00F26AB8" w:rsidRDefault="00F26AB8" w:rsidP="0056322D">
            <w:pPr>
              <w:pStyle w:val="NormalWeb"/>
              <w:spacing w:before="0" w:beforeAutospacing="0" w:after="240" w:afterAutospacing="0"/>
              <w:rPr>
                <w:rFonts w:cstheme="minorHAnsi"/>
                <w:color w:val="000000" w:themeColor="text1"/>
              </w:rPr>
            </w:pPr>
            <w:r w:rsidRPr="006A0CC1">
              <w:rPr>
                <w:rFonts w:cstheme="minorHAnsi"/>
                <w:color w:val="000000" w:themeColor="text1"/>
              </w:rPr>
              <w:t>Week 1 – 20/07 – 24/07</w:t>
            </w:r>
          </w:p>
          <w:p w14:paraId="4377642D" w14:textId="77777777" w:rsidR="00F26AB8" w:rsidRPr="006A0CC1" w:rsidRDefault="00F26AB8" w:rsidP="0056322D">
            <w:pPr>
              <w:pStyle w:val="NormalWeb"/>
              <w:spacing w:before="0" w:beforeAutospacing="0" w:after="24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SMT on call - </w:t>
            </w:r>
          </w:p>
        </w:tc>
        <w:tc>
          <w:tcPr>
            <w:tcW w:w="2268" w:type="dxa"/>
          </w:tcPr>
          <w:p w14:paraId="564AF301" w14:textId="77777777" w:rsidR="00F26AB8" w:rsidRPr="006A0CC1" w:rsidRDefault="00F26AB8" w:rsidP="00F26AB8">
            <w:pPr>
              <w:pStyle w:val="NormalWeb"/>
              <w:spacing w:before="0" w:beforeAutospacing="0" w:after="0" w:afterAutospacing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14595358" w14:textId="77777777" w:rsidR="00F26AB8" w:rsidRPr="006A0CC1" w:rsidRDefault="00F26AB8" w:rsidP="0056322D">
            <w:pPr>
              <w:pStyle w:val="NormalWeb"/>
              <w:spacing w:before="0" w:beforeAutospacing="0" w:after="240" w:afterAutospacing="0"/>
              <w:rPr>
                <w:rFonts w:cstheme="minorHAnsi"/>
                <w:color w:val="000000" w:themeColor="text1"/>
              </w:rPr>
            </w:pPr>
            <w:r w:rsidRPr="006A0CC1">
              <w:rPr>
                <w:rFonts w:cstheme="minorHAnsi"/>
                <w:color w:val="000000" w:themeColor="text1"/>
              </w:rPr>
              <w:t>Staff member –</w:t>
            </w:r>
          </w:p>
          <w:p w14:paraId="41DF129D" w14:textId="77777777" w:rsidR="00F26AB8" w:rsidRDefault="00F26AB8" w:rsidP="0056322D">
            <w:pPr>
              <w:pStyle w:val="NormalWeb"/>
              <w:spacing w:before="0" w:beforeAutospacing="0" w:after="240" w:afterAutospacing="0"/>
              <w:rPr>
                <w:rFonts w:cstheme="minorHAnsi"/>
                <w:color w:val="000000" w:themeColor="text1"/>
              </w:rPr>
            </w:pPr>
            <w:r w:rsidRPr="006A0CC1">
              <w:rPr>
                <w:rFonts w:cstheme="minorHAnsi"/>
                <w:color w:val="000000" w:themeColor="text1"/>
              </w:rPr>
              <w:t xml:space="preserve">Staff member – </w:t>
            </w:r>
          </w:p>
          <w:p w14:paraId="25D9DAFE" w14:textId="77777777" w:rsidR="00F26AB8" w:rsidRPr="006A0CC1" w:rsidRDefault="00F26AB8" w:rsidP="0056322D">
            <w:pPr>
              <w:pStyle w:val="NormalWeb"/>
              <w:spacing w:before="0" w:beforeAutospacing="0" w:after="240" w:afterAutospacing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31B30077" w14:textId="77777777" w:rsidR="00F26AB8" w:rsidRPr="006A0CC1" w:rsidRDefault="00F26AB8" w:rsidP="0056322D">
            <w:pPr>
              <w:pStyle w:val="NormalWeb"/>
              <w:spacing w:before="0" w:beforeAutospacing="0" w:after="240" w:afterAutospacing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Monday and Tuesday</w:t>
            </w:r>
          </w:p>
        </w:tc>
      </w:tr>
    </w:tbl>
    <w:p w14:paraId="2E5B66FD" w14:textId="77777777" w:rsidR="00F26AB8" w:rsidRDefault="00F26AB8" w:rsidP="002577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2ADBBA" w14:textId="77777777" w:rsidR="000616F1" w:rsidRDefault="000616F1" w:rsidP="002577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185690" w14:textId="0EDC3005" w:rsidR="00DE5BCC" w:rsidRPr="00DE5BCC" w:rsidRDefault="00DE5BCC" w:rsidP="0025776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E5BCC">
        <w:rPr>
          <w:rFonts w:ascii="Arial" w:hAnsi="Arial" w:cs="Arial"/>
          <w:b/>
          <w:bCs/>
          <w:sz w:val="22"/>
          <w:szCs w:val="22"/>
        </w:rPr>
        <w:t>Remote Academic Offer</w:t>
      </w:r>
    </w:p>
    <w:p w14:paraId="76BD93CC" w14:textId="77777777" w:rsidR="00DE5BCC" w:rsidRPr="00DE5BCC" w:rsidRDefault="00DE5BCC" w:rsidP="0025776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DBEFDE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 xml:space="preserve">To support education at home, pupils will continue to be able to utilise and be directed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use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DE5BCC">
        <w:rPr>
          <w:rFonts w:ascii="Arial" w:hAnsi="Arial" w:cs="Arial"/>
          <w:sz w:val="22"/>
          <w:szCs w:val="22"/>
          <w:lang w:val="en-GB"/>
        </w:rPr>
        <w:t>online platform Century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alongside Google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DE5BCC">
        <w:rPr>
          <w:rFonts w:ascii="Arial" w:hAnsi="Arial" w:cs="Arial"/>
          <w:sz w:val="22"/>
          <w:szCs w:val="22"/>
          <w:lang w:val="en-GB"/>
        </w:rPr>
        <w:t>lassrooms and hard copy work packs.</w:t>
      </w:r>
    </w:p>
    <w:p w14:paraId="4D8E141B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A61E55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 xml:space="preserve">Prior to the </w:t>
      </w:r>
      <w:r w:rsidR="007B2EEB">
        <w:rPr>
          <w:rFonts w:ascii="Arial" w:hAnsi="Arial" w:cs="Arial"/>
          <w:sz w:val="22"/>
          <w:szCs w:val="22"/>
          <w:lang w:val="en-GB"/>
        </w:rPr>
        <w:t>summer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break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staff to ensure work is on a timed release basis on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DE5BCC">
        <w:rPr>
          <w:rFonts w:ascii="Arial" w:hAnsi="Arial" w:cs="Arial"/>
          <w:sz w:val="22"/>
          <w:szCs w:val="22"/>
          <w:lang w:val="en-GB"/>
        </w:rPr>
        <w:t>entury/</w:t>
      </w:r>
      <w:r>
        <w:rPr>
          <w:rFonts w:ascii="Arial" w:hAnsi="Arial" w:cs="Arial"/>
          <w:sz w:val="22"/>
          <w:szCs w:val="22"/>
          <w:lang w:val="en-GB"/>
        </w:rPr>
        <w:t>G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oogle </w:t>
      </w:r>
      <w:r>
        <w:rPr>
          <w:rFonts w:ascii="Arial" w:hAnsi="Arial" w:cs="Arial"/>
          <w:sz w:val="22"/>
          <w:szCs w:val="22"/>
          <w:lang w:val="en-GB"/>
        </w:rPr>
        <w:t>C</w:t>
      </w:r>
      <w:r w:rsidRPr="00DE5BCC">
        <w:rPr>
          <w:rFonts w:ascii="Arial" w:hAnsi="Arial" w:cs="Arial"/>
          <w:sz w:val="22"/>
          <w:szCs w:val="22"/>
          <w:lang w:val="en-GB"/>
        </w:rPr>
        <w:t>lassrooms and that 3 packs of hard copy worksheets are ready to be posted</w:t>
      </w:r>
      <w:r>
        <w:rPr>
          <w:rFonts w:ascii="Arial" w:hAnsi="Arial" w:cs="Arial"/>
          <w:sz w:val="22"/>
          <w:szCs w:val="22"/>
          <w:lang w:val="en-GB"/>
        </w:rPr>
        <w:t xml:space="preserve">. These are to be </w:t>
      </w:r>
      <w:r w:rsidRPr="00DE5BCC">
        <w:rPr>
          <w:rFonts w:ascii="Arial" w:hAnsi="Arial" w:cs="Arial"/>
          <w:sz w:val="22"/>
          <w:szCs w:val="22"/>
          <w:lang w:val="en-GB"/>
        </w:rPr>
        <w:t>collate</w:t>
      </w:r>
      <w:r>
        <w:rPr>
          <w:rFonts w:ascii="Arial" w:hAnsi="Arial" w:cs="Arial"/>
          <w:sz w:val="22"/>
          <w:szCs w:val="22"/>
          <w:lang w:val="en-GB"/>
        </w:rPr>
        <w:t>d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centrally on site and ready to go out on a fortnightly basis.</w:t>
      </w:r>
    </w:p>
    <w:p w14:paraId="25E68A82" w14:textId="77777777" w:rsidR="00DE5BCC" w:rsidRPr="00DE5BCC" w:rsidRDefault="00DE5BCC" w:rsidP="00257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85C58B9" w14:textId="77777777" w:rsidR="00DE5BCC" w:rsidRPr="00DE5BCC" w:rsidRDefault="00DE5BCC" w:rsidP="00257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DE5BCC">
        <w:rPr>
          <w:rFonts w:ascii="Arial" w:hAnsi="Arial" w:cs="Arial"/>
          <w:sz w:val="22"/>
          <w:szCs w:val="22"/>
          <w:lang w:val="en-GB"/>
        </w:rPr>
        <w:t>All of the above will be working toward</w:t>
      </w:r>
      <w:r w:rsidR="007B2EEB">
        <w:rPr>
          <w:rFonts w:ascii="Arial" w:hAnsi="Arial" w:cs="Arial"/>
          <w:sz w:val="22"/>
          <w:szCs w:val="22"/>
          <w:lang w:val="en-GB"/>
        </w:rPr>
        <w:t>s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the below 20/21 academic offer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DE5BC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9C46D3A" w14:textId="77777777" w:rsidR="00DE5BCC" w:rsidRPr="00DE5BCC" w:rsidRDefault="00DE5BCC" w:rsidP="00257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F9F1080" w14:textId="77777777" w:rsidR="00DE5BCC" w:rsidRDefault="00DE5BCC" w:rsidP="00257762">
      <w:pPr>
        <w:jc w:val="both"/>
        <w:rPr>
          <w:rFonts w:ascii="Arial" w:hAnsi="Arial" w:cs="Arial"/>
          <w:b/>
          <w:sz w:val="22"/>
          <w:szCs w:val="22"/>
        </w:rPr>
      </w:pPr>
    </w:p>
    <w:p w14:paraId="4E92FAE2" w14:textId="0BAB575B" w:rsidR="00DE5BCC" w:rsidRPr="00DE5BCC" w:rsidRDefault="0062453E" w:rsidP="00257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Reconnection</w:t>
      </w:r>
      <w:r w:rsidR="00DE5BCC" w:rsidRPr="00DE5BC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E5BCC">
        <w:rPr>
          <w:rFonts w:ascii="Arial" w:hAnsi="Arial" w:cs="Arial"/>
          <w:b/>
          <w:sz w:val="22"/>
          <w:szCs w:val="22"/>
          <w:lang w:val="en-GB"/>
        </w:rPr>
        <w:t>C</w:t>
      </w:r>
      <w:r w:rsidR="00DE5BCC" w:rsidRPr="00DE5BCC">
        <w:rPr>
          <w:rFonts w:ascii="Arial" w:hAnsi="Arial" w:cs="Arial"/>
          <w:b/>
          <w:sz w:val="22"/>
          <w:szCs w:val="22"/>
          <w:lang w:val="en-GB"/>
        </w:rPr>
        <w:t>urriculum</w:t>
      </w:r>
    </w:p>
    <w:p w14:paraId="77AF9B2C" w14:textId="77777777" w:rsidR="00DE5BCC" w:rsidRPr="00DE5BCC" w:rsidRDefault="00DE5BCC" w:rsidP="0025776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6E0D67B" w14:textId="77777777" w:rsidR="00DE5BCC" w:rsidRPr="00DE5BCC" w:rsidRDefault="00DE5BCC" w:rsidP="00257762">
      <w:pPr>
        <w:jc w:val="both"/>
        <w:rPr>
          <w:rFonts w:ascii="Arial" w:eastAsiaTheme="minorHAnsi" w:hAnsi="Arial" w:cs="Arial"/>
          <w:sz w:val="22"/>
          <w:szCs w:val="22"/>
          <w:bdr w:val="none" w:sz="0" w:space="0" w:color="auto"/>
          <w:lang w:val="en-GB"/>
        </w:rPr>
      </w:pPr>
      <w:r w:rsidRPr="00DE5BCC">
        <w:rPr>
          <w:rFonts w:ascii="Arial" w:hAnsi="Arial" w:cs="Arial"/>
          <w:sz w:val="22"/>
          <w:szCs w:val="22"/>
        </w:rPr>
        <w:t>Pivot recognises that young people will have faced multiple barriers to learning over the period of school closures. With that in mind, we have produced a reintegration curriculum that focuses on re</w:t>
      </w:r>
      <w:r w:rsidR="0070639F">
        <w:rPr>
          <w:rFonts w:ascii="Arial" w:hAnsi="Arial" w:cs="Arial"/>
          <w:sz w:val="22"/>
          <w:szCs w:val="22"/>
        </w:rPr>
        <w:t>-</w:t>
      </w:r>
      <w:r w:rsidRPr="00DE5BCC">
        <w:rPr>
          <w:rFonts w:ascii="Arial" w:hAnsi="Arial" w:cs="Arial"/>
          <w:sz w:val="22"/>
          <w:szCs w:val="22"/>
        </w:rPr>
        <w:t xml:space="preserve">engaging learners in what we deem to </w:t>
      </w:r>
      <w:r w:rsidR="0070639F">
        <w:rPr>
          <w:rFonts w:ascii="Arial" w:hAnsi="Arial" w:cs="Arial"/>
          <w:sz w:val="22"/>
          <w:szCs w:val="22"/>
        </w:rPr>
        <w:t>be the initial recovery phase. </w:t>
      </w:r>
      <w:r w:rsidRPr="00DE5BCC">
        <w:rPr>
          <w:rFonts w:ascii="Arial" w:hAnsi="Arial" w:cs="Arial"/>
          <w:sz w:val="22"/>
          <w:szCs w:val="22"/>
        </w:rPr>
        <w:t>The principles we are adopting include:</w:t>
      </w:r>
    </w:p>
    <w:p w14:paraId="1A90EAF4" w14:textId="77777777" w:rsidR="00DE5BCC" w:rsidRPr="00DE5BCC" w:rsidRDefault="00DE5BCC" w:rsidP="00257762">
      <w:pPr>
        <w:jc w:val="both"/>
        <w:rPr>
          <w:rFonts w:ascii="Arial" w:hAnsi="Arial" w:cs="Arial"/>
          <w:sz w:val="22"/>
          <w:szCs w:val="22"/>
        </w:rPr>
      </w:pPr>
    </w:p>
    <w:p w14:paraId="449243F2" w14:textId="77777777" w:rsidR="00DE5BCC" w:rsidRPr="00DE5BCC" w:rsidRDefault="00DE5BCC" w:rsidP="0025776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 w:rsidRPr="00DE5BCC">
        <w:rPr>
          <w:rFonts w:ascii="Arial" w:eastAsia="Times New Roman" w:hAnsi="Arial" w:cs="Arial"/>
          <w:sz w:val="22"/>
          <w:szCs w:val="22"/>
        </w:rPr>
        <w:t>Maximising opportunities for communications with young people and their families and continue to build relationships and resilience</w:t>
      </w:r>
      <w:r w:rsidR="0070639F">
        <w:rPr>
          <w:rFonts w:ascii="Arial" w:eastAsia="Times New Roman" w:hAnsi="Arial" w:cs="Arial"/>
          <w:sz w:val="22"/>
          <w:szCs w:val="22"/>
        </w:rPr>
        <w:t>.</w:t>
      </w:r>
    </w:p>
    <w:p w14:paraId="3A456252" w14:textId="77777777" w:rsidR="00DE5BCC" w:rsidRPr="00DE5BCC" w:rsidRDefault="00DE5BCC" w:rsidP="0025776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 w:rsidRPr="00DE5BCC">
        <w:rPr>
          <w:rFonts w:ascii="Arial" w:eastAsia="Times New Roman" w:hAnsi="Arial" w:cs="Arial"/>
          <w:sz w:val="22"/>
          <w:szCs w:val="22"/>
        </w:rPr>
        <w:t>Increasing the benefits of physical activity and increasing the opportunity to be active</w:t>
      </w:r>
      <w:r w:rsidR="0070639F">
        <w:rPr>
          <w:rFonts w:ascii="Arial" w:eastAsia="Times New Roman" w:hAnsi="Arial" w:cs="Arial"/>
          <w:sz w:val="22"/>
          <w:szCs w:val="22"/>
        </w:rPr>
        <w:t>.</w:t>
      </w:r>
    </w:p>
    <w:p w14:paraId="12D9C19A" w14:textId="77777777" w:rsidR="00DE5BCC" w:rsidRPr="00DE5BCC" w:rsidRDefault="0070639F" w:rsidP="0025776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Offering</w:t>
      </w:r>
      <w:r w:rsidR="00DE5BCC" w:rsidRPr="00DE5BCC">
        <w:rPr>
          <w:rFonts w:ascii="Arial" w:eastAsia="Times New Roman" w:hAnsi="Arial" w:cs="Arial"/>
          <w:sz w:val="22"/>
          <w:szCs w:val="22"/>
        </w:rPr>
        <w:t xml:space="preserve"> the space and opportunity for young people to talk </w:t>
      </w:r>
      <w:r>
        <w:rPr>
          <w:rFonts w:ascii="Arial" w:eastAsia="Times New Roman" w:hAnsi="Arial" w:cs="Arial"/>
          <w:sz w:val="22"/>
          <w:szCs w:val="22"/>
        </w:rPr>
        <w:t>about their experiences in lock</w:t>
      </w:r>
      <w:r w:rsidR="00DE5BCC" w:rsidRPr="00DE5BCC">
        <w:rPr>
          <w:rFonts w:ascii="Arial" w:eastAsia="Times New Roman" w:hAnsi="Arial" w:cs="Arial"/>
          <w:sz w:val="22"/>
          <w:szCs w:val="22"/>
        </w:rPr>
        <w:t>down, to talk about their wellbeing and to offer support with their engagement with learning.</w:t>
      </w:r>
    </w:p>
    <w:p w14:paraId="46E4F44E" w14:textId="77777777" w:rsidR="00DE5BCC" w:rsidRPr="00DE5BCC" w:rsidRDefault="00DE5BCC" w:rsidP="0025776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 w:rsidRPr="00DE5BCC">
        <w:rPr>
          <w:rFonts w:ascii="Arial" w:eastAsia="Times New Roman" w:hAnsi="Arial" w:cs="Arial"/>
          <w:sz w:val="22"/>
          <w:szCs w:val="22"/>
        </w:rPr>
        <w:t>Ensur</w:t>
      </w:r>
      <w:r w:rsidR="0070639F">
        <w:rPr>
          <w:rFonts w:ascii="Arial" w:eastAsia="Times New Roman" w:hAnsi="Arial" w:cs="Arial"/>
          <w:sz w:val="22"/>
          <w:szCs w:val="22"/>
        </w:rPr>
        <w:t>ing</w:t>
      </w:r>
      <w:r w:rsidRPr="00DE5BCC">
        <w:rPr>
          <w:rFonts w:ascii="Arial" w:eastAsia="Times New Roman" w:hAnsi="Arial" w:cs="Arial"/>
          <w:sz w:val="22"/>
          <w:szCs w:val="22"/>
        </w:rPr>
        <w:t xml:space="preserve"> regular access for learners to high quality activities through working with teachers in an educational setting and remote learning at home to support re</w:t>
      </w:r>
      <w:r w:rsidR="0070639F">
        <w:rPr>
          <w:rFonts w:ascii="Arial" w:eastAsia="Times New Roman" w:hAnsi="Arial" w:cs="Arial"/>
          <w:sz w:val="22"/>
          <w:szCs w:val="22"/>
        </w:rPr>
        <w:t>-</w:t>
      </w:r>
      <w:r w:rsidRPr="00DE5BCC">
        <w:rPr>
          <w:rFonts w:ascii="Arial" w:eastAsia="Times New Roman" w:hAnsi="Arial" w:cs="Arial"/>
          <w:sz w:val="22"/>
          <w:szCs w:val="22"/>
        </w:rPr>
        <w:t>engaging with learning</w:t>
      </w:r>
    </w:p>
    <w:p w14:paraId="587D397D" w14:textId="77777777" w:rsidR="00DE5BCC" w:rsidRPr="00DE5BCC" w:rsidRDefault="0070639F" w:rsidP="0025776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Focusing</w:t>
      </w:r>
      <w:r w:rsidR="00DE5BCC" w:rsidRPr="00DE5BCC">
        <w:rPr>
          <w:rFonts w:ascii="Arial" w:eastAsia="Times New Roman" w:hAnsi="Arial" w:cs="Arial"/>
          <w:sz w:val="22"/>
          <w:szCs w:val="22"/>
        </w:rPr>
        <w:t xml:space="preserve"> on learning across literacy, numeracy</w:t>
      </w:r>
      <w:r>
        <w:rPr>
          <w:rFonts w:ascii="Arial" w:eastAsia="Times New Roman" w:hAnsi="Arial" w:cs="Arial"/>
          <w:sz w:val="22"/>
          <w:szCs w:val="22"/>
        </w:rPr>
        <w:t>, health and wellbeing;</w:t>
      </w:r>
      <w:r w:rsidR="00DE5BCC" w:rsidRPr="00DE5BCC">
        <w:rPr>
          <w:rFonts w:ascii="Arial" w:eastAsia="Times New Roman" w:hAnsi="Arial" w:cs="Arial"/>
          <w:sz w:val="22"/>
          <w:szCs w:val="22"/>
        </w:rPr>
        <w:t xml:space="preserve"> these will form the ba</w:t>
      </w:r>
      <w:r>
        <w:rPr>
          <w:rFonts w:ascii="Arial" w:eastAsia="Times New Roman" w:hAnsi="Arial" w:cs="Arial"/>
          <w:sz w:val="22"/>
          <w:szCs w:val="22"/>
        </w:rPr>
        <w:t>sis of our initial priorities. </w:t>
      </w:r>
      <w:r w:rsidR="00DE5BCC" w:rsidRPr="00DE5BCC">
        <w:rPr>
          <w:rFonts w:ascii="Arial" w:eastAsia="Times New Roman" w:hAnsi="Arial" w:cs="Arial"/>
          <w:sz w:val="22"/>
          <w:szCs w:val="22"/>
        </w:rPr>
        <w:t>Blended learning will provide access to learning in a wide range of curriculum areas in terms of subject knowledge and skills.</w:t>
      </w:r>
    </w:p>
    <w:p w14:paraId="7397F0B6" w14:textId="70A3FD14" w:rsidR="00DE5BCC" w:rsidRPr="00DE5BCC" w:rsidRDefault="00DE5BCC" w:rsidP="0025776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6FA7BCB" w14:textId="77777777" w:rsidR="001C1819" w:rsidRDefault="001C1819" w:rsidP="00257762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queries or questions then please do get in touch.</w:t>
      </w:r>
    </w:p>
    <w:p w14:paraId="2D182F47" w14:textId="1521FF8D" w:rsidR="001C1819" w:rsidRDefault="001C1819" w:rsidP="00DE5BCC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14:paraId="3F8D0F52" w14:textId="17782D0E" w:rsidR="00F26AB8" w:rsidRPr="000616F1" w:rsidRDefault="001C1819" w:rsidP="000616F1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Andrew</w:t>
      </w:r>
      <w:r w:rsidR="000616F1">
        <w:rPr>
          <w:rFonts w:ascii="Arial" w:hAnsi="Arial" w:cs="Arial"/>
        </w:rPr>
        <w:t xml:space="preserve"> – on behalf of Pivot Academies Senior Management Team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26AB8" w14:paraId="63B50893" w14:textId="77777777" w:rsidTr="00F26AB8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525"/>
              <w:gridCol w:w="120"/>
              <w:gridCol w:w="525"/>
              <w:gridCol w:w="6360"/>
            </w:tblGrid>
            <w:tr w:rsidR="00F26AB8" w14:paraId="2F332332" w14:textId="77777777">
              <w:trPr>
                <w:trHeight w:val="3270"/>
              </w:trPr>
              <w:tc>
                <w:tcPr>
                  <w:tcW w:w="2220" w:type="dxa"/>
                  <w:hideMark/>
                </w:tcPr>
                <w:p w14:paraId="21919EDF" w14:textId="0EBF2FA0" w:rsidR="00F26AB8" w:rsidRDefault="00F26AB8">
                  <w:pPr>
                    <w:spacing w:line="255" w:lineRule="atLeast"/>
                    <w:rPr>
                      <w:rFonts w:ascii="Trebuchet MS" w:eastAsia="Times New Roman" w:hAnsi="Trebuchet MS"/>
                      <w:noProof/>
                      <w:color w:val="5A5C61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25" w:type="dxa"/>
                  <w:vAlign w:val="center"/>
                  <w:hideMark/>
                </w:tcPr>
                <w:p w14:paraId="6A88A1EF" w14:textId="3A5BEA09" w:rsidR="00F26AB8" w:rsidRDefault="00F26AB8">
                  <w:pPr>
                    <w:spacing w:line="255" w:lineRule="atLeast"/>
                    <w:rPr>
                      <w:rFonts w:ascii="Trebuchet MS" w:eastAsia="Times New Roman" w:hAnsi="Trebuchet MS"/>
                      <w:noProof/>
                      <w:color w:val="5A5C61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14:paraId="16B92E43" w14:textId="77777777" w:rsidR="00F26AB8" w:rsidRDefault="00F26AB8">
                  <w:pPr>
                    <w:spacing w:line="255" w:lineRule="atLeast"/>
                    <w:rPr>
                      <w:rFonts w:ascii="Trebuchet MS" w:eastAsia="Times New Roman" w:hAnsi="Trebuchet MS"/>
                      <w:noProof/>
                      <w:color w:val="5A5C6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color w:val="5A5C61"/>
                      <w:sz w:val="18"/>
                      <w:szCs w:val="18"/>
                      <w:lang w:val="en-GB" w:eastAsia="en-GB"/>
                    </w:rPr>
                    <w:drawing>
                      <wp:inline distT="0" distB="0" distL="0" distR="0" wp14:anchorId="28858C28" wp14:editId="265E9248">
                        <wp:extent cx="76200" cy="2076450"/>
                        <wp:effectExtent l="0" t="0" r="0" b="0"/>
                        <wp:docPr id="21" name="Picture 21" descr="https://northernmediauk.com/pivot/line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northernmediauk.com/pivot/line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14:paraId="59306B0C" w14:textId="77777777" w:rsidR="00F26AB8" w:rsidRDefault="00F26AB8">
                  <w:pPr>
                    <w:spacing w:line="255" w:lineRule="atLeast"/>
                    <w:rPr>
                      <w:rFonts w:ascii="Trebuchet MS" w:eastAsia="Times New Roman" w:hAnsi="Trebuchet MS"/>
                      <w:noProof/>
                      <w:color w:val="5A5C61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color w:val="5A5C61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0"/>
                  </w:tblGrid>
                  <w:tr w:rsidR="00F26AB8" w14:paraId="3A2163C4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18799BB" w14:textId="77777777" w:rsidR="00F26AB8" w:rsidRDefault="00F26AB8">
                        <w:pPr>
                          <w:spacing w:line="315" w:lineRule="atLeast"/>
                          <w:rPr>
                            <w:rFonts w:ascii="Trebuchet MS" w:eastAsia="Times New Roman" w:hAnsi="Trebuchet MS"/>
                            <w:noProof/>
                            <w:color w:val="5A5C61"/>
                            <w:sz w:val="27"/>
                            <w:szCs w:val="27"/>
                            <w:lang w:eastAsia="en-GB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b/>
                            <w:bCs/>
                            <w:noProof/>
                            <w:color w:val="5A5C61"/>
                            <w:sz w:val="27"/>
                            <w:szCs w:val="27"/>
                            <w:lang w:eastAsia="en-GB"/>
                          </w:rPr>
                          <w:t>Andrew Kitterick</w:t>
                        </w:r>
                      </w:p>
                    </w:tc>
                  </w:tr>
                  <w:tr w:rsidR="00F26AB8" w14:paraId="36961571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2DFD1EF6" w14:textId="77777777" w:rsidR="00F26AB8" w:rsidRDefault="00F26AB8">
                        <w:pPr>
                          <w:spacing w:line="315" w:lineRule="atLeast"/>
                          <w:rPr>
                            <w:rFonts w:ascii="Trebuchet MS" w:eastAsia="Times New Roman" w:hAnsi="Trebuchet MS"/>
                            <w:noProof/>
                            <w:color w:val="36B6DE"/>
                            <w:sz w:val="27"/>
                            <w:szCs w:val="27"/>
                            <w:lang w:eastAsia="en-GB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noProof/>
                            <w:color w:val="36B6DE"/>
                            <w:sz w:val="27"/>
                            <w:szCs w:val="27"/>
                            <w:lang w:eastAsia="en-GB"/>
                          </w:rPr>
                          <w:t>Executive Head Teacher</w:t>
                        </w:r>
                      </w:p>
                      <w:p w14:paraId="62998527" w14:textId="77777777" w:rsidR="00F26AB8" w:rsidRDefault="00F26AB8">
                        <w:pPr>
                          <w:spacing w:line="315" w:lineRule="atLeast"/>
                          <w:rPr>
                            <w:rFonts w:ascii="Trebuchet MS" w:eastAsia="Times New Roman" w:hAnsi="Trebuchet MS"/>
                            <w:noProof/>
                            <w:color w:val="5A5C61"/>
                            <w:sz w:val="27"/>
                            <w:szCs w:val="27"/>
                            <w:lang w:eastAsia="en-GB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noProof/>
                            <w:color w:val="36B6DE"/>
                            <w:sz w:val="27"/>
                            <w:szCs w:val="27"/>
                            <w:lang w:eastAsia="en-GB"/>
                          </w:rPr>
                          <w:t>Director of Education</w:t>
                        </w:r>
                      </w:p>
                    </w:tc>
                  </w:tr>
                  <w:tr w:rsidR="00F26AB8" w14:paraId="1BA02762" w14:textId="77777777">
                    <w:trPr>
                      <w:trHeight w:val="1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C15596" w14:textId="77777777" w:rsidR="00F26AB8" w:rsidRDefault="00F26AB8">
                        <w:pPr>
                          <w:spacing w:line="150" w:lineRule="atLeast"/>
                          <w:rPr>
                            <w:rFonts w:ascii="Trebuchet MS" w:eastAsia="Times New Roman" w:hAnsi="Trebuchet MS"/>
                            <w:noProof/>
                            <w:color w:val="5A5C61"/>
                            <w:sz w:val="15"/>
                            <w:szCs w:val="15"/>
                            <w:lang w:eastAsia="en-GB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noProof/>
                            <w:color w:val="5A5C61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"/>
                          <w:gridCol w:w="150"/>
                          <w:gridCol w:w="5259"/>
                        </w:tblGrid>
                        <w:tr w:rsidR="00F26AB8" w14:paraId="301280D8" w14:textId="7777777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31FD248C" w14:textId="77777777" w:rsidR="00F26AB8" w:rsidRDefault="00F26AB8">
                              <w:pPr>
                                <w:spacing w:line="255" w:lineRule="atLeast"/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Calibri" w:hAnsi="Trebuchet MS" w:cs="Calibri"/>
                                  <w:noProof/>
                                  <w:color w:val="36B6DE"/>
                                  <w:sz w:val="18"/>
                                  <w:szCs w:val="18"/>
                                  <w:lang w:eastAsia="en-GB"/>
                                </w:rPr>
                                <w:t>t.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576FEC85" w14:textId="77777777" w:rsidR="00F26AB8" w:rsidRDefault="00F26AB8">
                              <w:pPr>
                                <w:spacing w:line="255" w:lineRule="atLeast"/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7BD1861A" w14:textId="77777777" w:rsidR="00F26AB8" w:rsidRDefault="00F26AB8">
                              <w:pPr>
                                <w:spacing w:line="255" w:lineRule="atLeast"/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bdr w:val="none" w:sz="0" w:space="0" w:color="auto" w:frame="1"/>
                                  <w:lang w:eastAsia="en-GB"/>
                                </w:rPr>
                                <w:t>07866403645/01484 766350</w:t>
                              </w:r>
                            </w:p>
                          </w:tc>
                        </w:tr>
                        <w:tr w:rsidR="00F26AB8" w14:paraId="30F3799B" w14:textId="7777777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50E59970" w14:textId="77777777" w:rsidR="00F26AB8" w:rsidRDefault="00F26AB8">
                              <w:pPr>
                                <w:spacing w:line="255" w:lineRule="atLeast"/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Calibri" w:hAnsi="Trebuchet MS" w:cs="Calibri"/>
                                  <w:noProof/>
                                  <w:color w:val="36B6DE"/>
                                  <w:sz w:val="18"/>
                                  <w:szCs w:val="18"/>
                                  <w:lang w:eastAsia="en-GB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133C35A8" w14:textId="77777777" w:rsidR="00F26AB8" w:rsidRDefault="00F26AB8">
                              <w:pPr>
                                <w:spacing w:line="255" w:lineRule="atLeast"/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07E32AF4" w14:textId="77777777" w:rsidR="00F26AB8" w:rsidRDefault="009C0377">
                              <w:pPr>
                                <w:spacing w:line="255" w:lineRule="atLeast"/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1" w:history="1">
                                <w:r w:rsidR="00F26AB8">
                                  <w:rPr>
                                    <w:rStyle w:val="Hyperlink"/>
                                    <w:rFonts w:ascii="Trebuchet MS" w:eastAsia="Calibri" w:hAnsi="Trebuchet MS" w:cs="Calibri"/>
                                    <w:noProof/>
                                    <w:color w:val="5A5C61"/>
                                    <w:sz w:val="18"/>
                                    <w:szCs w:val="18"/>
                                    <w:bdr w:val="none" w:sz="0" w:space="0" w:color="auto" w:frame="1"/>
                                    <w:lang w:eastAsia="en-GB"/>
                                  </w:rPr>
                                  <w:t>Rawfolds Way, Spen Valley Industrial Park, Cleckheaton, BD9 5LJ</w:t>
                                </w:r>
                              </w:hyperlink>
                            </w:p>
                          </w:tc>
                        </w:tr>
                        <w:tr w:rsidR="00F26AB8" w14:paraId="61EE6091" w14:textId="77777777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078CF42C" w14:textId="77777777" w:rsidR="00F26AB8" w:rsidRDefault="00F26AB8">
                              <w:pPr>
                                <w:spacing w:line="255" w:lineRule="atLeast"/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Calibri" w:hAnsi="Trebuchet MS" w:cs="Calibri"/>
                                  <w:noProof/>
                                  <w:color w:val="36B6DE"/>
                                  <w:sz w:val="18"/>
                                  <w:szCs w:val="18"/>
                                  <w:lang w:eastAsia="en-GB"/>
                                </w:rPr>
                                <w:t>e.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457FECB0" w14:textId="77777777" w:rsidR="00F26AB8" w:rsidRDefault="00F26AB8">
                              <w:pPr>
                                <w:spacing w:line="255" w:lineRule="atLeast"/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14:paraId="57A7F853" w14:textId="77777777" w:rsidR="00F26AB8" w:rsidRDefault="009C0377">
                              <w:pPr>
                                <w:spacing w:line="255" w:lineRule="atLeast"/>
                                <w:rPr>
                                  <w:rFonts w:ascii="Trebuchet MS" w:eastAsia="Calibri" w:hAnsi="Trebuchet MS" w:cs="Calibri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hyperlink r:id="rId12" w:history="1">
                                <w:r w:rsidR="00F26AB8">
                                  <w:rPr>
                                    <w:rStyle w:val="Hyperlink"/>
                                    <w:rFonts w:ascii="Trebuchet MS" w:eastAsia="Calibri" w:hAnsi="Trebuchet MS" w:cs="Calibri"/>
                                    <w:noProof/>
                                    <w:sz w:val="18"/>
                                    <w:szCs w:val="18"/>
                                    <w:bdr w:val="none" w:sz="0" w:space="0" w:color="auto" w:frame="1"/>
                                    <w:lang w:eastAsia="en-GB"/>
                                  </w:rPr>
                                  <w:t>andrew.kitterick@pivot-group.co.uk</w:t>
                                </w:r>
                              </w:hyperlink>
                            </w:p>
                          </w:tc>
                        </w:tr>
                      </w:tbl>
                      <w:p w14:paraId="10FB8168" w14:textId="77777777" w:rsidR="00F26AB8" w:rsidRDefault="00F26AB8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AB8" w14:paraId="0E2F850F" w14:textId="77777777">
                    <w:trPr>
                      <w:trHeight w:val="15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A13A1B5" w14:textId="77777777" w:rsidR="00F26AB8" w:rsidRDefault="00F26AB8">
                        <w:pPr>
                          <w:spacing w:line="150" w:lineRule="atLeast"/>
                          <w:rPr>
                            <w:rFonts w:ascii="Trebuchet MS" w:eastAsia="Times New Roman" w:hAnsi="Trebuchet MS"/>
                            <w:noProof/>
                            <w:color w:val="5A5C61"/>
                            <w:sz w:val="15"/>
                            <w:szCs w:val="15"/>
                            <w:lang w:eastAsia="en-GB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noProof/>
                            <w:color w:val="5A5C61"/>
                            <w:sz w:val="15"/>
                            <w:szCs w:val="15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F26AB8" w14:paraId="1A24B71E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0103DEE" w14:textId="77777777" w:rsidR="00F26AB8" w:rsidRDefault="009C0377">
                        <w:pPr>
                          <w:spacing w:line="255" w:lineRule="atLeast"/>
                          <w:rPr>
                            <w:rFonts w:ascii="Trebuchet MS" w:eastAsia="Times New Roman" w:hAnsi="Trebuchet MS"/>
                            <w:noProof/>
                            <w:color w:val="5A5C61"/>
                            <w:sz w:val="18"/>
                            <w:szCs w:val="18"/>
                            <w:lang w:eastAsia="en-GB"/>
                          </w:rPr>
                        </w:pPr>
                        <w:hyperlink r:id="rId13" w:history="1">
                          <w:r w:rsidR="00F26AB8">
                            <w:rPr>
                              <w:rStyle w:val="Hyperlink"/>
                              <w:rFonts w:ascii="Trebuchet MS" w:eastAsia="Times New Roman" w:hAnsi="Trebuchet MS"/>
                              <w:b/>
                              <w:bCs/>
                              <w:noProof/>
                              <w:color w:val="5A5C61"/>
                              <w:sz w:val="18"/>
                              <w:szCs w:val="18"/>
                              <w:bdr w:val="none" w:sz="0" w:space="0" w:color="auto" w:frame="1"/>
                              <w:lang w:eastAsia="en-GB"/>
                            </w:rPr>
                            <w:t>www.pivot-group.uk</w:t>
                          </w:r>
                        </w:hyperlink>
                      </w:p>
                    </w:tc>
                  </w:tr>
                  <w:tr w:rsidR="00F26AB8" w14:paraId="2C0DA702" w14:textId="77777777">
                    <w:trPr>
                      <w:trHeight w:val="24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91C3B5" w14:textId="77777777" w:rsidR="00F26AB8" w:rsidRDefault="00F26AB8">
                        <w:pPr>
                          <w:spacing w:line="240" w:lineRule="atLeast"/>
                          <w:rPr>
                            <w:rFonts w:ascii="Trebuchet MS" w:eastAsia="Times New Roman" w:hAnsi="Trebuchet MS"/>
                            <w:noProof/>
                            <w:color w:val="5A5C61"/>
                            <w:lang w:eastAsia="en-GB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noProof/>
                            <w:color w:val="5A5C61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F26AB8" w14:paraId="113C2AC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120"/>
                          <w:gridCol w:w="360"/>
                          <w:gridCol w:w="120"/>
                          <w:gridCol w:w="360"/>
                          <w:gridCol w:w="120"/>
                          <w:gridCol w:w="360"/>
                        </w:tblGrid>
                        <w:tr w:rsidR="00F26AB8" w14:paraId="662D0239" w14:textId="77777777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14:paraId="22CCD0AB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0000FF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en-GB"/>
                                </w:rPr>
                                <w:drawing>
                                  <wp:inline distT="0" distB="0" distL="0" distR="0" wp14:anchorId="151E8D08" wp14:editId="50151A36">
                                    <wp:extent cx="228600" cy="228600"/>
                                    <wp:effectExtent l="0" t="0" r="0" b="0"/>
                                    <wp:docPr id="20" name="Picture 20" descr="https://northernmediauk.com/pivot/linkedin-1.png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northernmediauk.com/pivot/linkedin-1.png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14:paraId="266DFAE7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14:paraId="643F2E08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0000FF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en-GB"/>
                                </w:rPr>
                                <w:drawing>
                                  <wp:inline distT="0" distB="0" distL="0" distR="0" wp14:anchorId="549B6D32" wp14:editId="69B9005C">
                                    <wp:extent cx="228600" cy="228600"/>
                                    <wp:effectExtent l="0" t="0" r="0" b="0"/>
                                    <wp:docPr id="19" name="Picture 19" descr="https://northernmediauk.com/pivot/twitter-1.png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northernmediauk.com/pivot/twitter-1.png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14:paraId="66D5D8FF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14:paraId="34F2A4A6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0000FF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en-GB"/>
                                </w:rPr>
                                <w:drawing>
                                  <wp:inline distT="0" distB="0" distL="0" distR="0" wp14:anchorId="794FCA85" wp14:editId="05194F40">
                                    <wp:extent cx="228600" cy="228600"/>
                                    <wp:effectExtent l="0" t="0" r="0" b="0"/>
                                    <wp:docPr id="18" name="Picture 18" descr="https://northernmediauk.com/pivot/instagram-1.png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northernmediauk.com/pivot/instagram-1.png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14:paraId="5BA3515D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14:paraId="23754D8E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0000FF"/>
                                  <w:sz w:val="18"/>
                                  <w:szCs w:val="18"/>
                                  <w:bdr w:val="none" w:sz="0" w:space="0" w:color="auto" w:frame="1"/>
                                  <w:lang w:val="en-GB" w:eastAsia="en-GB"/>
                                </w:rPr>
                                <w:drawing>
                                  <wp:inline distT="0" distB="0" distL="0" distR="0" wp14:anchorId="3701F256" wp14:editId="60BAADE6">
                                    <wp:extent cx="228600" cy="228600"/>
                                    <wp:effectExtent l="0" t="0" r="0" b="0"/>
                                    <wp:docPr id="17" name="Picture 17" descr="https://northernmediauk.com/pivot/facebook-1.png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northernmediauk.com/pivot/facebook-1.png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7BB230A" w14:textId="77777777" w:rsidR="00F26AB8" w:rsidRDefault="00F26AB8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AB8" w14:paraId="0FF90081" w14:textId="77777777">
                    <w:trPr>
                      <w:trHeight w:val="24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41B63C" w14:textId="5E47557D" w:rsidR="00F26AB8" w:rsidRDefault="00F26AB8">
                        <w:pPr>
                          <w:spacing w:line="240" w:lineRule="atLeast"/>
                          <w:rPr>
                            <w:rFonts w:ascii="Trebuchet MS" w:eastAsia="Times New Roman" w:hAnsi="Trebuchet MS"/>
                            <w:noProof/>
                            <w:color w:val="5A5C61"/>
                            <w:lang w:eastAsia="en-GB"/>
                          </w:rPr>
                        </w:pPr>
                      </w:p>
                    </w:tc>
                  </w:tr>
                  <w:tr w:rsidR="00F26AB8" w14:paraId="0646CB2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76"/>
                          <w:gridCol w:w="990"/>
                          <w:gridCol w:w="77"/>
                          <w:gridCol w:w="1800"/>
                          <w:gridCol w:w="77"/>
                          <w:gridCol w:w="1920"/>
                          <w:gridCol w:w="77"/>
                          <w:gridCol w:w="743"/>
                        </w:tblGrid>
                        <w:tr w:rsidR="00F26AB8" w14:paraId="4CC72DA8" w14:textId="77777777">
                          <w:trPr>
                            <w:trHeight w:val="480"/>
                          </w:trPr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14:paraId="5E950D22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 wp14:anchorId="74AE3687" wp14:editId="5A6EE169">
                                    <wp:extent cx="371475" cy="371475"/>
                                    <wp:effectExtent l="0" t="0" r="9525" b="9525"/>
                                    <wp:docPr id="16" name="Picture 16" descr="https://northernmediauk.com/pivot/ofsted-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northernmediauk.com/pivot/ofsted-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1475" cy="371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14:paraId="1725BB01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  <w:hideMark/>
                            </w:tcPr>
                            <w:p w14:paraId="1D83CD30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 wp14:anchorId="6ACA6976" wp14:editId="723CB86B">
                                    <wp:extent cx="619125" cy="371475"/>
                                    <wp:effectExtent l="0" t="0" r="9525" b="9525"/>
                                    <wp:docPr id="15" name="Picture 15" descr="https://northernmediauk.com/pivot/doe-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northernmediauk.com/pivot/doe-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371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14:paraId="64636A46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  <w:hideMark/>
                            </w:tcPr>
                            <w:p w14:paraId="54F0F657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 wp14:anchorId="1E7BD816" wp14:editId="101D772C">
                                    <wp:extent cx="1133475" cy="304800"/>
                                    <wp:effectExtent l="0" t="0" r="9525" b="0"/>
                                    <wp:docPr id="14" name="Picture 14" descr="https://northernmediauk.com/pivot/rjc-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northernmediauk.com/pivot/rjc-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14:paraId="3B274B8F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85" w:type="dxa"/>
                              <w:vAlign w:val="center"/>
                              <w:hideMark/>
                            </w:tcPr>
                            <w:p w14:paraId="6D8A92A0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 wp14:anchorId="557188C8" wp14:editId="7F994A87">
                                    <wp:extent cx="1209675" cy="371475"/>
                                    <wp:effectExtent l="0" t="0" r="9525" b="9525"/>
                                    <wp:docPr id="13" name="Picture 13" descr="https://northernmediauk.com/pivot/gs-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northernmediauk.com/pivot/gs-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371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14:paraId="7827F09E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90" w:type="dxa"/>
                              <w:vAlign w:val="center"/>
                              <w:hideMark/>
                            </w:tcPr>
                            <w:p w14:paraId="2F46DE34" w14:textId="77777777" w:rsidR="00F26AB8" w:rsidRDefault="00F26AB8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noProof/>
                                  <w:color w:val="5A5C61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 wp14:anchorId="36CD1022" wp14:editId="73F0C230">
                                    <wp:extent cx="400050" cy="304800"/>
                                    <wp:effectExtent l="0" t="0" r="0" b="0"/>
                                    <wp:docPr id="12" name="Picture 12" descr="https://northernmediauk.com/pivot/logo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northernmediauk.com/pivot/logo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02F6BCA" w14:textId="77777777" w:rsidR="00F26AB8" w:rsidRDefault="00F26AB8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4EB3A94" w14:textId="77777777" w:rsidR="00F26AB8" w:rsidRDefault="00F26AB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DA106D" w14:textId="77777777" w:rsidR="00F26AB8" w:rsidRDefault="00F26AB8">
            <w:pPr>
              <w:rPr>
                <w:sz w:val="22"/>
                <w:szCs w:val="22"/>
              </w:rPr>
            </w:pPr>
          </w:p>
        </w:tc>
      </w:tr>
    </w:tbl>
    <w:p w14:paraId="3316ED95" w14:textId="77777777" w:rsidR="001C1819" w:rsidRPr="00DE5BCC" w:rsidRDefault="00F26AB8" w:rsidP="00DE5BCC">
      <w:pPr>
        <w:pStyle w:val="Body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br/>
      </w:r>
    </w:p>
    <w:sectPr w:rsidR="001C1819" w:rsidRPr="00DE5BCC">
      <w:headerReference w:type="default" r:id="rId27"/>
      <w:pgSz w:w="11900" w:h="16840"/>
      <w:pgMar w:top="1701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A705" w14:textId="77777777" w:rsidR="00DA386B" w:rsidRDefault="00DA386B">
      <w:r>
        <w:separator/>
      </w:r>
    </w:p>
  </w:endnote>
  <w:endnote w:type="continuationSeparator" w:id="0">
    <w:p w14:paraId="50FE82FF" w14:textId="77777777" w:rsidR="00DA386B" w:rsidRDefault="00D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3D27" w14:textId="77777777" w:rsidR="00DA386B" w:rsidRDefault="00DA386B">
      <w:r>
        <w:separator/>
      </w:r>
    </w:p>
  </w:footnote>
  <w:footnote w:type="continuationSeparator" w:id="0">
    <w:p w14:paraId="13697DE2" w14:textId="77777777" w:rsidR="00DA386B" w:rsidRDefault="00DA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5956" w14:textId="77777777" w:rsidR="00A13F64" w:rsidRDefault="001A3B9B">
    <w:pPr>
      <w:pStyle w:val="HeaderFooter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5DA931" wp14:editId="40308A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47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VOT_A4-0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E5"/>
    <w:multiLevelType w:val="hybridMultilevel"/>
    <w:tmpl w:val="FFB6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2CB9"/>
    <w:multiLevelType w:val="hybridMultilevel"/>
    <w:tmpl w:val="D3A4C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104F9"/>
    <w:multiLevelType w:val="hybridMultilevel"/>
    <w:tmpl w:val="E30E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277E7"/>
    <w:multiLevelType w:val="hybridMultilevel"/>
    <w:tmpl w:val="AE7437C6"/>
    <w:lvl w:ilvl="0" w:tplc="818A1F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64"/>
    <w:rsid w:val="00021574"/>
    <w:rsid w:val="000616F1"/>
    <w:rsid w:val="001A3B9B"/>
    <w:rsid w:val="001C1819"/>
    <w:rsid w:val="00257762"/>
    <w:rsid w:val="002C7444"/>
    <w:rsid w:val="003E0903"/>
    <w:rsid w:val="00510E7F"/>
    <w:rsid w:val="0062453E"/>
    <w:rsid w:val="0070639F"/>
    <w:rsid w:val="007B2EEB"/>
    <w:rsid w:val="0095588F"/>
    <w:rsid w:val="009C0377"/>
    <w:rsid w:val="00A13F64"/>
    <w:rsid w:val="00DA386B"/>
    <w:rsid w:val="00DE5BCC"/>
    <w:rsid w:val="00E469BF"/>
    <w:rsid w:val="00E46CDE"/>
    <w:rsid w:val="00F26AB8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F6CF"/>
  <w15:docId w15:val="{556D8FA3-1A48-4116-B32F-4105A8B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DE5B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B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B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aragraph">
    <w:name w:val="paragraph"/>
    <w:basedOn w:val="Normal"/>
    <w:rsid w:val="00DE5B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DE5BCC"/>
  </w:style>
  <w:style w:type="character" w:customStyle="1" w:styleId="eop">
    <w:name w:val="eop"/>
    <w:basedOn w:val="DefaultParagraphFont"/>
    <w:rsid w:val="00DE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ivot-group.uk" TargetMode="External"/><Relationship Id="rId18" Type="http://schemas.openxmlformats.org/officeDocument/2006/relationships/hyperlink" Target="https://www.instagram.com/pivotteam/?hl=en" TargetMode="Externa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mailto:andrew.kitterick@pivot-group.co.uk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Pivot_Team" TargetMode="External"/><Relationship Id="rId20" Type="http://schemas.openxmlformats.org/officeDocument/2006/relationships/hyperlink" Target="https://www.facebook.com/PivotGroupLt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s.apple.com/place?address=Rawfolds%20Way%2C%20Spen%20Valley%20Industrial%20Park%2C%20Cleckheaton%2C%20BD19%205LJ%2C%20England&amp;auid=2049204878347682582&amp;ll=53.71899964915946%2C-1.7061638832092285&amp;q=Pivot%20Academy" TargetMode="External"/><Relationship Id="rId24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pivot-care-and-education/?viewAsMember=true" TargetMode="External"/><Relationship Id="rId22" Type="http://schemas.openxmlformats.org/officeDocument/2006/relationships/image" Target="media/image6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49B817E2A2E4299A16C361C17B149" ma:contentTypeVersion="13" ma:contentTypeDescription="Create a new document." ma:contentTypeScope="" ma:versionID="6422a927e5de242e7cdedb18a34209b6">
  <xsd:schema xmlns:xsd="http://www.w3.org/2001/XMLSchema" xmlns:xs="http://www.w3.org/2001/XMLSchema" xmlns:p="http://schemas.microsoft.com/office/2006/metadata/properties" xmlns:ns3="b3bcc50c-79d0-452f-a2c7-a745a7ee6084" xmlns:ns4="93e1082f-8c63-4da1-9fbd-12a9eb862003" targetNamespace="http://schemas.microsoft.com/office/2006/metadata/properties" ma:root="true" ma:fieldsID="21f2114a0761e8dc95d6d128006a2892" ns3:_="" ns4:_="">
    <xsd:import namespace="b3bcc50c-79d0-452f-a2c7-a745a7ee6084"/>
    <xsd:import namespace="93e1082f-8c63-4da1-9fbd-12a9eb862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cc50c-79d0-452f-a2c7-a745a7ee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1082f-8c63-4da1-9fbd-12a9eb862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A77EF-9B24-4309-853B-5E0CA42A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cc50c-79d0-452f-a2c7-a745a7ee6084"/>
    <ds:schemaRef ds:uri="93e1082f-8c63-4da1-9fbd-12a9eb862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384CF-AD77-4CDB-9BFE-45AE0AB42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D2E39-13DD-4EA7-85C1-F20B7DD5B113}">
  <ds:schemaRefs>
    <ds:schemaRef ds:uri="93e1082f-8c63-4da1-9fbd-12a9eb8620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bcc50c-79d0-452f-a2c7-a745a7ee608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Sutcliffe</dc:creator>
  <cp:lastModifiedBy>Andrew Kitterick</cp:lastModifiedBy>
  <cp:revision>3</cp:revision>
  <dcterms:created xsi:type="dcterms:W3CDTF">2020-07-29T04:37:00Z</dcterms:created>
  <dcterms:modified xsi:type="dcterms:W3CDTF">2020-07-29T04:38:00Z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0x01010073D49B817E2A2E4299A16C361C17B149</vt:lpwstr>
  </property>
</Properties>
</file>